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仿宋" w:hAnsi="仿宋" w:eastAsia="仿宋" w:cs="仿宋"/>
          <w:b/>
          <w:bCs/>
          <w:color w:val="auto"/>
          <w:sz w:val="30"/>
          <w:szCs w:val="30"/>
          <w:highlight w:val="none"/>
          <w:lang w:val="zh-CN"/>
        </w:rPr>
      </w:pPr>
    </w:p>
    <w:p>
      <w:pPr>
        <w:autoSpaceDE w:val="0"/>
        <w:autoSpaceDN w:val="0"/>
        <w:adjustRightInd w:val="0"/>
        <w:snapToGrid w:val="0"/>
        <w:spacing w:line="360" w:lineRule="auto"/>
        <w:jc w:val="left"/>
        <w:rPr>
          <w:rFonts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政府采购项目</w:t>
      </w:r>
    </w:p>
    <w:p>
      <w:pPr>
        <w:autoSpaceDE w:val="0"/>
        <w:autoSpaceDN w:val="0"/>
        <w:adjustRightInd w:val="0"/>
        <w:snapToGrid w:val="0"/>
        <w:spacing w:line="360" w:lineRule="auto"/>
        <w:jc w:val="left"/>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lang w:val="zh-CN"/>
        </w:rPr>
        <w:t>采购项目编号：SCZC2023-CS-1763-001</w:t>
      </w:r>
    </w:p>
    <w:p>
      <w:pPr>
        <w:tabs>
          <w:tab w:val="left" w:pos="5670"/>
        </w:tabs>
        <w:autoSpaceDE w:val="0"/>
        <w:autoSpaceDN w:val="0"/>
        <w:adjustRightInd w:val="0"/>
        <w:snapToGrid w:val="0"/>
        <w:spacing w:line="360" w:lineRule="auto"/>
        <w:jc w:val="center"/>
        <w:rPr>
          <w:rFonts w:ascii="仿宋" w:hAnsi="仿宋" w:eastAsia="仿宋" w:cs="仿宋"/>
          <w:color w:val="auto"/>
          <w:sz w:val="30"/>
          <w:szCs w:val="30"/>
          <w:highlight w:val="none"/>
        </w:rPr>
      </w:pPr>
    </w:p>
    <w:p>
      <w:pPr>
        <w:tabs>
          <w:tab w:val="left" w:pos="5670"/>
        </w:tabs>
        <w:autoSpaceDE w:val="0"/>
        <w:autoSpaceDN w:val="0"/>
        <w:adjustRightInd w:val="0"/>
        <w:snapToGrid w:val="0"/>
        <w:spacing w:line="360" w:lineRule="auto"/>
        <w:jc w:val="center"/>
        <w:rPr>
          <w:rFonts w:ascii="仿宋" w:hAnsi="仿宋" w:eastAsia="仿宋" w:cs="仿宋"/>
          <w:color w:val="auto"/>
          <w:sz w:val="32"/>
          <w:szCs w:val="32"/>
          <w:highlight w:val="none"/>
        </w:rPr>
      </w:pPr>
    </w:p>
    <w:p>
      <w:pPr>
        <w:tabs>
          <w:tab w:val="left" w:pos="5670"/>
        </w:tabs>
        <w:autoSpaceDE w:val="0"/>
        <w:autoSpaceDN w:val="0"/>
        <w:adjustRightInd w:val="0"/>
        <w:snapToGrid w:val="0"/>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napToGrid w:val="0"/>
        <w:spacing w:line="360" w:lineRule="auto"/>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西安浐灞生态区绿地生态城2期东区1#别墅、围墙及白龙池路安全性检测鉴定项目</w:t>
      </w:r>
    </w:p>
    <w:p>
      <w:pPr>
        <w:tabs>
          <w:tab w:val="left" w:pos="5670"/>
        </w:tabs>
        <w:autoSpaceDE w:val="0"/>
        <w:autoSpaceDN w:val="0"/>
        <w:adjustRightInd w:val="0"/>
        <w:snapToGrid w:val="0"/>
        <w:spacing w:line="360" w:lineRule="auto"/>
        <w:jc w:val="center"/>
        <w:rPr>
          <w:rFonts w:ascii="仿宋" w:hAnsi="仿宋" w:eastAsia="仿宋" w:cs="仿宋"/>
          <w:b/>
          <w:bCs/>
          <w:color w:val="auto"/>
          <w:sz w:val="36"/>
          <w:szCs w:val="36"/>
          <w:highlight w:val="none"/>
          <w:lang w:val="zh-CN"/>
        </w:rPr>
      </w:pPr>
    </w:p>
    <w:p>
      <w:pPr>
        <w:pStyle w:val="27"/>
        <w:rPr>
          <w:color w:val="auto"/>
          <w:highlight w:val="none"/>
          <w:lang w:val="zh-CN"/>
        </w:rPr>
      </w:pPr>
    </w:p>
    <w:p>
      <w:pPr>
        <w:tabs>
          <w:tab w:val="left" w:pos="5670"/>
        </w:tabs>
        <w:autoSpaceDE w:val="0"/>
        <w:autoSpaceDN w:val="0"/>
        <w:adjustRightInd w:val="0"/>
        <w:snapToGrid w:val="0"/>
        <w:spacing w:line="360" w:lineRule="auto"/>
        <w:jc w:val="center"/>
        <w:rPr>
          <w:rFonts w:ascii="仿宋" w:hAnsi="仿宋" w:eastAsia="仿宋" w:cs="仿宋"/>
          <w:b/>
          <w:bCs/>
          <w:color w:val="auto"/>
          <w:sz w:val="52"/>
          <w:szCs w:val="52"/>
          <w:highlight w:val="none"/>
          <w:lang w:val="zh-CN"/>
        </w:rPr>
      </w:pPr>
      <w:r>
        <w:rPr>
          <w:rFonts w:hint="eastAsia" w:ascii="仿宋" w:hAnsi="仿宋" w:eastAsia="仿宋" w:cs="仿宋"/>
          <w:b/>
          <w:bCs/>
          <w:color w:val="auto"/>
          <w:sz w:val="52"/>
          <w:szCs w:val="52"/>
          <w:highlight w:val="none"/>
          <w:lang w:val="zh-CN"/>
        </w:rPr>
        <w:t>竞争性磋商文件</w:t>
      </w:r>
    </w:p>
    <w:p>
      <w:pPr>
        <w:tabs>
          <w:tab w:val="left" w:pos="5670"/>
        </w:tabs>
        <w:autoSpaceDE w:val="0"/>
        <w:autoSpaceDN w:val="0"/>
        <w:adjustRightInd w:val="0"/>
        <w:snapToGrid w:val="0"/>
        <w:spacing w:line="360" w:lineRule="auto"/>
        <w:jc w:val="center"/>
        <w:rPr>
          <w:rFonts w:ascii="仿宋" w:hAnsi="仿宋" w:eastAsia="仿宋" w:cs="仿宋"/>
          <w:color w:val="auto"/>
          <w:sz w:val="50"/>
          <w:szCs w:val="50"/>
          <w:highlight w:val="none"/>
        </w:rPr>
      </w:pPr>
    </w:p>
    <w:p>
      <w:pPr>
        <w:tabs>
          <w:tab w:val="left" w:pos="5670"/>
        </w:tabs>
        <w:autoSpaceDE w:val="0"/>
        <w:autoSpaceDN w:val="0"/>
        <w:adjustRightInd w:val="0"/>
        <w:snapToGrid w:val="0"/>
        <w:spacing w:line="360" w:lineRule="auto"/>
        <w:jc w:val="center"/>
        <w:rPr>
          <w:rFonts w:ascii="仿宋" w:hAnsi="仿宋" w:eastAsia="仿宋" w:cs="仿宋"/>
          <w:b/>
          <w:bCs/>
          <w:color w:val="auto"/>
          <w:sz w:val="30"/>
          <w:szCs w:val="30"/>
          <w:highlight w:val="none"/>
        </w:rPr>
      </w:pPr>
    </w:p>
    <w:p>
      <w:pPr>
        <w:tabs>
          <w:tab w:val="left" w:pos="5670"/>
        </w:tabs>
        <w:autoSpaceDE w:val="0"/>
        <w:autoSpaceDN w:val="0"/>
        <w:adjustRightInd w:val="0"/>
        <w:snapToGrid w:val="0"/>
        <w:spacing w:line="360" w:lineRule="auto"/>
        <w:jc w:val="center"/>
        <w:rPr>
          <w:rFonts w:ascii="仿宋" w:hAnsi="仿宋" w:eastAsia="仿宋" w:cs="仿宋"/>
          <w:b/>
          <w:bCs/>
          <w:color w:val="auto"/>
          <w:sz w:val="30"/>
          <w:szCs w:val="30"/>
          <w:highlight w:val="none"/>
        </w:rPr>
      </w:pPr>
    </w:p>
    <w:p>
      <w:pPr>
        <w:tabs>
          <w:tab w:val="left" w:pos="5670"/>
        </w:tabs>
        <w:autoSpaceDE w:val="0"/>
        <w:autoSpaceDN w:val="0"/>
        <w:adjustRightInd w:val="0"/>
        <w:snapToGrid w:val="0"/>
        <w:spacing w:line="360" w:lineRule="auto"/>
        <w:jc w:val="center"/>
        <w:rPr>
          <w:rFonts w:ascii="仿宋" w:hAnsi="仿宋" w:eastAsia="仿宋" w:cs="仿宋"/>
          <w:b/>
          <w:bCs/>
          <w:color w:val="auto"/>
          <w:sz w:val="30"/>
          <w:szCs w:val="30"/>
          <w:highlight w:val="none"/>
        </w:rPr>
      </w:pPr>
    </w:p>
    <w:p>
      <w:pPr>
        <w:pStyle w:val="25"/>
        <w:rPr>
          <w:rFonts w:ascii="仿宋" w:hAnsi="仿宋" w:eastAsia="仿宋" w:cs="仿宋"/>
          <w:b/>
          <w:bCs/>
          <w:color w:val="auto"/>
          <w:sz w:val="30"/>
          <w:szCs w:val="30"/>
          <w:highlight w:val="none"/>
        </w:rPr>
      </w:pPr>
    </w:p>
    <w:p>
      <w:pPr>
        <w:pStyle w:val="25"/>
        <w:ind w:firstLine="1205" w:firstLineChars="400"/>
        <w:rPr>
          <w:rFonts w:hint="eastAsia" w:ascii="仿宋" w:hAnsi="仿宋" w:eastAsia="仿宋" w:cs="仿宋"/>
          <w:b/>
          <w:bCs/>
          <w:color w:val="auto"/>
          <w:sz w:val="30"/>
          <w:szCs w:val="30"/>
          <w:highlight w:val="none"/>
          <w:lang w:eastAsia="zh-CN"/>
        </w:rPr>
      </w:pPr>
      <w:r>
        <w:rPr>
          <w:rFonts w:hint="eastAsia" w:ascii="仿宋" w:hAnsi="仿宋" w:eastAsia="仿宋" w:cs="仿宋"/>
          <w:b/>
          <w:bCs/>
          <w:color w:val="auto"/>
          <w:sz w:val="30"/>
          <w:szCs w:val="30"/>
          <w:highlight w:val="none"/>
        </w:rPr>
        <w:t>采   购   人：</w:t>
      </w:r>
      <w:r>
        <w:rPr>
          <w:rFonts w:hint="eastAsia" w:ascii="仿宋" w:hAnsi="仿宋" w:eastAsia="仿宋" w:cs="仿宋"/>
          <w:b/>
          <w:bCs/>
          <w:color w:val="auto"/>
          <w:sz w:val="30"/>
          <w:szCs w:val="30"/>
          <w:highlight w:val="none"/>
          <w:lang w:eastAsia="zh-CN"/>
        </w:rPr>
        <w:t>西安浐灞生态区管理委员会</w:t>
      </w:r>
    </w:p>
    <w:p>
      <w:pPr>
        <w:pStyle w:val="25"/>
        <w:ind w:firstLine="904" w:firstLineChars="300"/>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lang w:val="zh-CN"/>
        </w:rPr>
        <w:t xml:space="preserve"> </w:t>
      </w:r>
      <w:r>
        <w:rPr>
          <w:rFonts w:hint="eastAsia" w:ascii="仿宋" w:hAnsi="仿宋" w:eastAsia="仿宋" w:cs="仿宋"/>
          <w:b/>
          <w:bCs/>
          <w:color w:val="auto"/>
          <w:sz w:val="30"/>
          <w:szCs w:val="30"/>
          <w:highlight w:val="none"/>
        </w:rPr>
        <w:t xml:space="preserve"> 采购代理机构：</w:t>
      </w:r>
      <w:r>
        <w:rPr>
          <w:rFonts w:hint="eastAsia" w:ascii="仿宋" w:hAnsi="仿宋" w:eastAsia="仿宋" w:cs="仿宋"/>
          <w:b/>
          <w:bCs/>
          <w:color w:val="auto"/>
          <w:sz w:val="30"/>
          <w:szCs w:val="30"/>
          <w:highlight w:val="none"/>
          <w:lang w:val="zh-CN"/>
        </w:rPr>
        <w:t>陕西省采购招标有限责任公司</w:t>
      </w:r>
    </w:p>
    <w:p>
      <w:pPr>
        <w:tabs>
          <w:tab w:val="left" w:pos="5670"/>
        </w:tabs>
        <w:autoSpaceDE w:val="0"/>
        <w:autoSpaceDN w:val="0"/>
        <w:adjustRightInd w:val="0"/>
        <w:snapToGrid w:val="0"/>
        <w:spacing w:line="360" w:lineRule="auto"/>
        <w:jc w:val="center"/>
        <w:rPr>
          <w:rFonts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 xml:space="preserve"> </w:t>
      </w:r>
    </w:p>
    <w:p>
      <w:pPr>
        <w:tabs>
          <w:tab w:val="left" w:pos="5670"/>
        </w:tabs>
        <w:autoSpaceDE w:val="0"/>
        <w:autoSpaceDN w:val="0"/>
        <w:adjustRightInd w:val="0"/>
        <w:snapToGrid w:val="0"/>
        <w:spacing w:line="360" w:lineRule="auto"/>
        <w:jc w:val="center"/>
        <w:rPr>
          <w:rFonts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二〇</w:t>
      </w:r>
      <w:r>
        <w:rPr>
          <w:rFonts w:hint="eastAsia" w:ascii="仿宋" w:hAnsi="仿宋" w:eastAsia="仿宋" w:cs="仿宋"/>
          <w:b/>
          <w:bCs/>
          <w:color w:val="auto"/>
          <w:sz w:val="30"/>
          <w:szCs w:val="30"/>
          <w:highlight w:val="none"/>
        </w:rPr>
        <w:t>二三</w:t>
      </w:r>
      <w:r>
        <w:rPr>
          <w:rFonts w:hint="eastAsia" w:ascii="仿宋" w:hAnsi="仿宋" w:eastAsia="仿宋" w:cs="仿宋"/>
          <w:b/>
          <w:bCs/>
          <w:color w:val="auto"/>
          <w:sz w:val="30"/>
          <w:szCs w:val="30"/>
          <w:highlight w:val="none"/>
          <w:lang w:val="zh-CN"/>
        </w:rPr>
        <w:t>年</w:t>
      </w:r>
      <w:r>
        <w:rPr>
          <w:rFonts w:hint="eastAsia" w:ascii="仿宋" w:hAnsi="仿宋" w:eastAsia="仿宋" w:cs="仿宋"/>
          <w:b/>
          <w:bCs/>
          <w:color w:val="auto"/>
          <w:sz w:val="30"/>
          <w:szCs w:val="30"/>
          <w:highlight w:val="none"/>
          <w:lang w:val="en-US" w:eastAsia="zh-CN"/>
        </w:rPr>
        <w:t>九</w:t>
      </w:r>
      <w:r>
        <w:rPr>
          <w:rFonts w:hint="eastAsia" w:ascii="仿宋" w:hAnsi="仿宋" w:eastAsia="仿宋" w:cs="仿宋"/>
          <w:b/>
          <w:bCs/>
          <w:color w:val="auto"/>
          <w:sz w:val="30"/>
          <w:szCs w:val="30"/>
          <w:highlight w:val="none"/>
          <w:lang w:val="zh-CN"/>
        </w:rPr>
        <w:t>月</w:t>
      </w:r>
    </w:p>
    <w:p>
      <w:pPr>
        <w:pStyle w:val="16"/>
        <w:ind w:firstLine="0" w:firstLineChars="0"/>
        <w:jc w:val="center"/>
        <w:rPr>
          <w:rFonts w:hint="eastAsia" w:ascii="仿宋" w:hAnsi="仿宋" w:eastAsia="仿宋" w:cs="仿宋"/>
          <w:b/>
          <w:color w:val="auto"/>
          <w:sz w:val="36"/>
          <w:szCs w:val="36"/>
          <w:highlight w:val="none"/>
        </w:rPr>
      </w:pPr>
    </w:p>
    <w:p>
      <w:pPr>
        <w:pStyle w:val="16"/>
        <w:ind w:firstLine="0" w:firstLineChars="0"/>
        <w:jc w:val="center"/>
        <w:rPr>
          <w:rFonts w:hint="eastAsia" w:ascii="仿宋" w:hAnsi="仿宋" w:eastAsia="仿宋" w:cs="仿宋"/>
          <w:b/>
          <w:color w:val="auto"/>
          <w:sz w:val="36"/>
          <w:szCs w:val="36"/>
          <w:highlight w:val="none"/>
        </w:rPr>
      </w:pPr>
    </w:p>
    <w:p>
      <w:pPr>
        <w:pStyle w:val="16"/>
        <w:ind w:firstLine="0" w:firstLineChars="0"/>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目  录</w:t>
      </w:r>
    </w:p>
    <w:p>
      <w:pPr>
        <w:pStyle w:val="36"/>
        <w:tabs>
          <w:tab w:val="right" w:leader="dot" w:pos="8306"/>
          <w:tab w:val="clear" w:pos="9344"/>
        </w:tabs>
        <w:rPr>
          <w:rFonts w:ascii="仿宋_GB2312" w:hAnsi="仿宋_GB2312" w:eastAsia="仿宋_GB2312" w:cs="仿宋_GB2312"/>
          <w:color w:val="auto"/>
          <w:sz w:val="28"/>
          <w:szCs w:val="28"/>
          <w:highlight w:val="none"/>
        </w:rPr>
      </w:pPr>
      <w:r>
        <w:rPr>
          <w:rFonts w:hint="eastAsia" w:ascii="仿宋_GB2312" w:hAnsi="仿宋_GB2312" w:eastAsia="仿宋_GB2312" w:cs="仿宋_GB2312"/>
          <w:b w:val="0"/>
          <w:bCs w:val="0"/>
          <w:color w:val="auto"/>
          <w:sz w:val="28"/>
          <w:szCs w:val="28"/>
          <w:highlight w:val="none"/>
        </w:rPr>
        <w:fldChar w:fldCharType="begin"/>
      </w:r>
      <w:r>
        <w:rPr>
          <w:rFonts w:hint="eastAsia" w:ascii="仿宋_GB2312" w:hAnsi="仿宋_GB2312" w:eastAsia="仿宋_GB2312" w:cs="仿宋_GB2312"/>
          <w:b w:val="0"/>
          <w:bCs w:val="0"/>
          <w:color w:val="auto"/>
          <w:sz w:val="28"/>
          <w:szCs w:val="28"/>
          <w:highlight w:val="none"/>
        </w:rPr>
        <w:instrText xml:space="preserve"> TOC \o "1-2" \h \z \u </w:instrText>
      </w:r>
      <w:r>
        <w:rPr>
          <w:rFonts w:hint="eastAsia" w:ascii="仿宋_GB2312" w:hAnsi="仿宋_GB2312" w:eastAsia="仿宋_GB2312" w:cs="仿宋_GB2312"/>
          <w:b w:val="0"/>
          <w:bCs w:val="0"/>
          <w:color w:val="auto"/>
          <w:sz w:val="28"/>
          <w:szCs w:val="28"/>
          <w:highlight w:val="none"/>
        </w:rPr>
        <w:fldChar w:fldCharType="separate"/>
      </w:r>
      <w:r>
        <w:rPr>
          <w:color w:val="auto"/>
          <w:highlight w:val="none"/>
        </w:rPr>
        <w:fldChar w:fldCharType="begin"/>
      </w:r>
      <w:r>
        <w:rPr>
          <w:color w:val="auto"/>
          <w:highlight w:val="none"/>
        </w:rPr>
        <w:instrText xml:space="preserve"> HYPERLINK \l "_Toc22931" </w:instrText>
      </w:r>
      <w:r>
        <w:rPr>
          <w:color w:val="auto"/>
          <w:highlight w:val="none"/>
        </w:rPr>
        <w:fldChar w:fldCharType="separate"/>
      </w:r>
      <w:r>
        <w:rPr>
          <w:rFonts w:hint="eastAsia" w:ascii="仿宋_GB2312" w:hAnsi="仿宋_GB2312" w:eastAsia="仿宋_GB2312" w:cs="仿宋_GB2312"/>
          <w:color w:val="auto"/>
          <w:sz w:val="28"/>
          <w:szCs w:val="28"/>
          <w:highlight w:val="none"/>
        </w:rPr>
        <w:t>第一章  竞争性磋商公告</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_Toc22931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36"/>
        <w:tabs>
          <w:tab w:val="right" w:leader="dot" w:pos="8306"/>
          <w:tab w:val="clear" w:pos="9344"/>
        </w:tabs>
        <w:rPr>
          <w:rFonts w:ascii="仿宋_GB2312" w:hAnsi="仿宋_GB2312" w:eastAsia="仿宋_GB2312" w:cs="仿宋_GB2312"/>
          <w:color w:val="auto"/>
          <w:sz w:val="28"/>
          <w:szCs w:val="28"/>
          <w:highlight w:val="none"/>
        </w:rPr>
      </w:pPr>
      <w:r>
        <w:rPr>
          <w:color w:val="auto"/>
          <w:highlight w:val="none"/>
        </w:rPr>
        <w:fldChar w:fldCharType="begin"/>
      </w:r>
      <w:r>
        <w:rPr>
          <w:color w:val="auto"/>
          <w:highlight w:val="none"/>
        </w:rPr>
        <w:instrText xml:space="preserve"> HYPERLINK \l "_Toc5853" </w:instrText>
      </w:r>
      <w:r>
        <w:rPr>
          <w:color w:val="auto"/>
          <w:highlight w:val="none"/>
        </w:rPr>
        <w:fldChar w:fldCharType="separate"/>
      </w:r>
      <w:r>
        <w:rPr>
          <w:rFonts w:hint="eastAsia" w:ascii="仿宋_GB2312" w:hAnsi="仿宋_GB2312" w:eastAsia="仿宋_GB2312" w:cs="仿宋_GB2312"/>
          <w:color w:val="auto"/>
          <w:sz w:val="28"/>
          <w:szCs w:val="28"/>
          <w:highlight w:val="none"/>
        </w:rPr>
        <w:t>第二章  供应商须知</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_Toc5853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36"/>
        <w:tabs>
          <w:tab w:val="right" w:leader="dot" w:pos="8306"/>
          <w:tab w:val="clear" w:pos="9344"/>
        </w:tabs>
        <w:rPr>
          <w:rFonts w:ascii="仿宋_GB2312" w:hAnsi="仿宋_GB2312" w:eastAsia="仿宋_GB2312" w:cs="仿宋_GB2312"/>
          <w:color w:val="auto"/>
          <w:sz w:val="28"/>
          <w:szCs w:val="28"/>
          <w:highlight w:val="none"/>
        </w:rPr>
      </w:pPr>
      <w:r>
        <w:rPr>
          <w:color w:val="auto"/>
          <w:highlight w:val="none"/>
        </w:rPr>
        <w:fldChar w:fldCharType="begin"/>
      </w:r>
      <w:r>
        <w:rPr>
          <w:color w:val="auto"/>
          <w:highlight w:val="none"/>
        </w:rPr>
        <w:instrText xml:space="preserve"> HYPERLINK \l "_Toc14219" </w:instrText>
      </w:r>
      <w:r>
        <w:rPr>
          <w:color w:val="auto"/>
          <w:highlight w:val="none"/>
        </w:rPr>
        <w:fldChar w:fldCharType="separate"/>
      </w:r>
      <w:r>
        <w:rPr>
          <w:rFonts w:hint="eastAsia" w:ascii="仿宋_GB2312" w:hAnsi="仿宋_GB2312" w:eastAsia="仿宋_GB2312" w:cs="仿宋_GB2312"/>
          <w:color w:val="auto"/>
          <w:sz w:val="28"/>
          <w:szCs w:val="28"/>
          <w:highlight w:val="none"/>
        </w:rPr>
        <w:t>第三章  评审办法和标准</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_Toc14219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26</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36"/>
        <w:tabs>
          <w:tab w:val="right" w:leader="dot" w:pos="8306"/>
          <w:tab w:val="clear" w:pos="9344"/>
        </w:tabs>
        <w:rPr>
          <w:rFonts w:ascii="仿宋_GB2312" w:hAnsi="仿宋_GB2312" w:eastAsia="仿宋_GB2312" w:cs="仿宋_GB2312"/>
          <w:color w:val="auto"/>
          <w:sz w:val="28"/>
          <w:szCs w:val="28"/>
          <w:highlight w:val="none"/>
        </w:rPr>
      </w:pPr>
      <w:r>
        <w:rPr>
          <w:color w:val="auto"/>
          <w:highlight w:val="none"/>
        </w:rPr>
        <w:fldChar w:fldCharType="begin"/>
      </w:r>
      <w:r>
        <w:rPr>
          <w:color w:val="auto"/>
          <w:highlight w:val="none"/>
        </w:rPr>
        <w:instrText xml:space="preserve"> HYPERLINK \l "_Toc17119" </w:instrText>
      </w:r>
      <w:r>
        <w:rPr>
          <w:color w:val="auto"/>
          <w:highlight w:val="none"/>
        </w:rPr>
        <w:fldChar w:fldCharType="separate"/>
      </w:r>
      <w:r>
        <w:rPr>
          <w:rFonts w:hint="eastAsia" w:ascii="仿宋_GB2312" w:hAnsi="仿宋_GB2312" w:eastAsia="仿宋_GB2312" w:cs="仿宋_GB2312"/>
          <w:color w:val="auto"/>
          <w:sz w:val="28"/>
          <w:szCs w:val="28"/>
          <w:highlight w:val="none"/>
        </w:rPr>
        <w:t>第四章  拟签订的合同文本</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_Toc17119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33</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36"/>
        <w:tabs>
          <w:tab w:val="right" w:leader="dot" w:pos="8306"/>
          <w:tab w:val="clear" w:pos="9344"/>
        </w:tabs>
        <w:rPr>
          <w:rFonts w:ascii="仿宋_GB2312" w:hAnsi="仿宋_GB2312" w:eastAsia="仿宋_GB2312" w:cs="仿宋_GB2312"/>
          <w:color w:val="auto"/>
          <w:sz w:val="28"/>
          <w:szCs w:val="28"/>
          <w:highlight w:val="none"/>
        </w:rPr>
      </w:pPr>
      <w:r>
        <w:rPr>
          <w:color w:val="auto"/>
          <w:highlight w:val="none"/>
        </w:rPr>
        <w:fldChar w:fldCharType="begin"/>
      </w:r>
      <w:r>
        <w:rPr>
          <w:color w:val="auto"/>
          <w:highlight w:val="none"/>
        </w:rPr>
        <w:instrText xml:space="preserve"> HYPERLINK \l "_Toc27662" </w:instrText>
      </w:r>
      <w:r>
        <w:rPr>
          <w:color w:val="auto"/>
          <w:highlight w:val="none"/>
        </w:rPr>
        <w:fldChar w:fldCharType="separate"/>
      </w:r>
      <w:r>
        <w:rPr>
          <w:rFonts w:hint="eastAsia" w:ascii="仿宋_GB2312" w:hAnsi="仿宋_GB2312" w:eastAsia="仿宋_GB2312" w:cs="仿宋_GB2312"/>
          <w:color w:val="auto"/>
          <w:sz w:val="28"/>
          <w:szCs w:val="28"/>
          <w:highlight w:val="none"/>
        </w:rPr>
        <w:t>第五章  采购内容及要求</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_Toc27662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37</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36"/>
        <w:tabs>
          <w:tab w:val="right" w:leader="dot" w:pos="8306"/>
          <w:tab w:val="clear" w:pos="9344"/>
        </w:tabs>
        <w:rPr>
          <w:rFonts w:ascii="仿宋_GB2312" w:hAnsi="仿宋_GB2312" w:eastAsia="仿宋_GB2312" w:cs="仿宋_GB2312"/>
          <w:color w:val="auto"/>
          <w:sz w:val="28"/>
          <w:szCs w:val="28"/>
          <w:highlight w:val="none"/>
        </w:rPr>
      </w:pPr>
      <w:r>
        <w:rPr>
          <w:color w:val="auto"/>
          <w:highlight w:val="none"/>
        </w:rPr>
        <w:fldChar w:fldCharType="begin"/>
      </w:r>
      <w:r>
        <w:rPr>
          <w:color w:val="auto"/>
          <w:highlight w:val="none"/>
        </w:rPr>
        <w:instrText xml:space="preserve"> HYPERLINK \l "_Toc7006" </w:instrText>
      </w:r>
      <w:r>
        <w:rPr>
          <w:color w:val="auto"/>
          <w:highlight w:val="none"/>
        </w:rPr>
        <w:fldChar w:fldCharType="separate"/>
      </w:r>
      <w:r>
        <w:rPr>
          <w:rFonts w:hint="eastAsia" w:ascii="仿宋_GB2312" w:hAnsi="仿宋_GB2312" w:eastAsia="仿宋_GB2312" w:cs="仿宋_GB2312"/>
          <w:color w:val="auto"/>
          <w:sz w:val="28"/>
          <w:szCs w:val="28"/>
          <w:highlight w:val="none"/>
        </w:rPr>
        <w:t>第六章  磋商响应文件格式</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_Toc7006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41</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tabs>
          <w:tab w:val="center" w:pos="4677"/>
          <w:tab w:val="left" w:pos="5040"/>
        </w:tabs>
        <w:adjustRightInd w:val="0"/>
        <w:snapToGrid w:val="0"/>
        <w:spacing w:line="360" w:lineRule="auto"/>
        <w:jc w:val="left"/>
        <w:rPr>
          <w:rFonts w:ascii="仿宋" w:hAnsi="仿宋" w:eastAsia="仿宋" w:cs="仿宋"/>
          <w:color w:val="auto"/>
          <w:szCs w:val="20"/>
          <w:highlight w:val="none"/>
        </w:rPr>
      </w:pPr>
      <w:r>
        <w:rPr>
          <w:rFonts w:hint="eastAsia" w:ascii="仿宋_GB2312" w:hAnsi="仿宋_GB2312" w:eastAsia="仿宋_GB2312" w:cs="仿宋_GB2312"/>
          <w:color w:val="auto"/>
          <w:sz w:val="28"/>
          <w:szCs w:val="28"/>
          <w:highlight w:val="none"/>
        </w:rPr>
        <w:fldChar w:fldCharType="end"/>
      </w:r>
    </w:p>
    <w:p>
      <w:pPr>
        <w:pStyle w:val="25"/>
        <w:rPr>
          <w:rFonts w:ascii="仿宋" w:hAnsi="仿宋" w:eastAsia="仿宋" w:cs="仿宋"/>
          <w:color w:val="auto"/>
          <w:highlight w:val="none"/>
        </w:rPr>
        <w:sectPr>
          <w:headerReference r:id="rId4" w:type="first"/>
          <w:headerReference r:id="rId3" w:type="default"/>
          <w:pgSz w:w="11906" w:h="16838"/>
          <w:pgMar w:top="1440" w:right="1800" w:bottom="1440" w:left="1800" w:header="851" w:footer="992" w:gutter="0"/>
          <w:cols w:space="720" w:num="1"/>
          <w:titlePg/>
          <w:docGrid w:linePitch="312" w:charSpace="0"/>
        </w:sectPr>
      </w:pPr>
    </w:p>
    <w:p>
      <w:pPr>
        <w:pStyle w:val="46"/>
        <w:spacing w:line="360" w:lineRule="auto"/>
        <w:rPr>
          <w:rStyle w:val="204"/>
          <w:rFonts w:ascii="仿宋" w:hAnsi="仿宋" w:eastAsia="仿宋" w:cs="仿宋"/>
          <w:color w:val="auto"/>
          <w:sz w:val="36"/>
          <w:szCs w:val="36"/>
          <w:highlight w:val="none"/>
        </w:rPr>
      </w:pPr>
      <w:bookmarkStart w:id="0" w:name="_Toc415499894"/>
      <w:bookmarkStart w:id="1" w:name="_Toc21755"/>
      <w:bookmarkStart w:id="2" w:name="_Toc58504445"/>
      <w:bookmarkStart w:id="3" w:name="_Toc22931"/>
      <w:bookmarkStart w:id="4" w:name="_Toc492955413"/>
      <w:bookmarkStart w:id="5" w:name="_Toc499711882"/>
      <w:bookmarkStart w:id="6" w:name="_Toc496324577"/>
      <w:bookmarkStart w:id="7" w:name="_Toc70687138"/>
      <w:bookmarkStart w:id="8" w:name="_Toc53722839"/>
      <w:bookmarkStart w:id="9" w:name="_Toc500747060"/>
      <w:bookmarkStart w:id="10" w:name="_Toc499711041"/>
      <w:bookmarkStart w:id="11" w:name="_Toc503063420"/>
      <w:bookmarkStart w:id="12" w:name="_Toc177189234"/>
      <w:bookmarkStart w:id="13" w:name="_Toc177817333"/>
      <w:bookmarkStart w:id="14" w:name="_Toc177995472"/>
      <w:bookmarkStart w:id="15" w:name="_Toc500746964"/>
      <w:bookmarkStart w:id="16" w:name="_Toc500747187"/>
      <w:bookmarkStart w:id="17" w:name="_Toc176882541"/>
      <w:bookmarkStart w:id="18" w:name="_Toc385992325"/>
      <w:bookmarkStart w:id="19" w:name="_Toc385992324"/>
      <w:r>
        <w:rPr>
          <w:rStyle w:val="204"/>
          <w:rFonts w:hint="eastAsia" w:ascii="仿宋" w:hAnsi="仿宋" w:eastAsia="仿宋" w:cs="仿宋"/>
          <w:color w:val="auto"/>
          <w:sz w:val="36"/>
          <w:szCs w:val="36"/>
          <w:highlight w:val="none"/>
        </w:rPr>
        <w:t xml:space="preserve">第一章  </w:t>
      </w:r>
      <w:bookmarkEnd w:id="0"/>
      <w:bookmarkEnd w:id="1"/>
      <w:bookmarkEnd w:id="2"/>
      <w:r>
        <w:rPr>
          <w:rStyle w:val="204"/>
          <w:rFonts w:hint="eastAsia" w:ascii="仿宋" w:hAnsi="仿宋" w:eastAsia="仿宋" w:cs="仿宋"/>
          <w:color w:val="auto"/>
          <w:sz w:val="36"/>
          <w:szCs w:val="36"/>
          <w:highlight w:val="none"/>
        </w:rPr>
        <w:t>竞争性磋商公告</w:t>
      </w:r>
      <w:bookmarkEnd w:id="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2" w:firstLineChars="200"/>
        <w:jc w:val="left"/>
        <w:textAlignment w:val="baseline"/>
        <w:outlineLvl w:val="9"/>
        <w:rPr>
          <w:rFonts w:hint="eastAsia" w:ascii="仿宋" w:hAnsi="仿宋" w:eastAsia="仿宋" w:cs="仿宋"/>
          <w:b w:val="0"/>
          <w:bCs w:val="0"/>
          <w:color w:val="auto"/>
          <w:sz w:val="24"/>
          <w:szCs w:val="24"/>
          <w:highlight w:val="none"/>
        </w:rPr>
      </w:pPr>
      <w:r>
        <w:rPr>
          <w:rStyle w:val="54"/>
          <w:rFonts w:hint="eastAsia" w:ascii="仿宋" w:hAnsi="仿宋" w:eastAsia="仿宋" w:cs="仿宋"/>
          <w:b/>
          <w:bCs/>
          <w:i w:val="0"/>
          <w:iCs w:val="0"/>
          <w:caps w:val="0"/>
          <w:color w:val="auto"/>
          <w:spacing w:val="0"/>
          <w:sz w:val="24"/>
          <w:szCs w:val="24"/>
          <w:highlight w:val="none"/>
          <w:bdr w:val="none" w:color="auto" w:sz="0" w:space="0"/>
          <w:shd w:val="clear" w:fill="FFFFFF"/>
          <w:vertAlign w:val="baseline"/>
        </w:rPr>
        <w:t>项目概况</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西安浐灞生态区绿地生态城2期东区1#别墅、围墙及白龙池路安全性检测鉴定项目采购项目的潜在供应商应在电子邮箱490786920@qq.com获取采购文件，并于 2023年10月09日 14时30分 （北京时间）前提交响应文件。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Autospacing="0" w:afterAutospacing="0" w:line="360" w:lineRule="auto"/>
        <w:ind w:left="0" w:right="0" w:firstLine="482" w:firstLineChars="200"/>
        <w:jc w:val="left"/>
        <w:textAlignment w:val="baseline"/>
        <w:outlineLvl w:val="9"/>
        <w:rPr>
          <w:rFonts w:hint="eastAsia" w:ascii="仿宋" w:hAnsi="仿宋" w:eastAsia="仿宋" w:cs="仿宋"/>
          <w:b w:val="0"/>
          <w:bCs w:val="0"/>
          <w:i w:val="0"/>
          <w:iCs w:val="0"/>
          <w:caps w:val="0"/>
          <w:color w:val="auto"/>
          <w:spacing w:val="0"/>
          <w:sz w:val="24"/>
          <w:szCs w:val="24"/>
          <w:highlight w:val="none"/>
        </w:rPr>
      </w:pPr>
      <w:r>
        <w:rPr>
          <w:rStyle w:val="54"/>
          <w:rFonts w:hint="eastAsia" w:ascii="仿宋" w:hAnsi="仿宋" w:eastAsia="仿宋" w:cs="仿宋"/>
          <w:b/>
          <w:bCs/>
          <w:i w:val="0"/>
          <w:iCs w:val="0"/>
          <w:caps w:val="0"/>
          <w:color w:val="auto"/>
          <w:spacing w:val="0"/>
          <w:sz w:val="24"/>
          <w:szCs w:val="24"/>
          <w:highlight w:val="none"/>
          <w:bdr w:val="none" w:color="auto" w:sz="0" w:space="0"/>
          <w:shd w:val="clear" w:fill="FFFFFF"/>
          <w:vertAlign w:val="baseline"/>
        </w:rPr>
        <w:t>一、项目基本情况</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项目编号：SCZC2023-CS-1763-001</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项目名称：西安浐灞生态区绿地生态城2期东区1#别墅、围墙及白龙池路安全性检测鉴定项目</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采购方式：竞争性磋商</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预算金额：461,000.00元</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采购需求：</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合同包1(西安浐灞生态区绿地生态城2期东区1#别墅、围墙及白龙池路安全性检测鉴定项目):</w:t>
      </w:r>
      <w:bookmarkStart w:id="539" w:name="_GoBack"/>
      <w:bookmarkEnd w:id="539"/>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合同包预算金额：461,000.00元</w:t>
      </w:r>
    </w:p>
    <w:tbl>
      <w:tblP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32"/>
        <w:gridCol w:w="1547"/>
        <w:gridCol w:w="2898"/>
        <w:gridCol w:w="722"/>
        <w:gridCol w:w="1127"/>
        <w:gridCol w:w="1441"/>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8" w:hRule="atLeast"/>
          <w:tblHeader/>
        </w:trPr>
        <w:tc>
          <w:tcPr>
            <w:tcW w:w="36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bdr w:val="none" w:color="auto" w:sz="0" w:space="0"/>
                <w:lang w:val="en-US" w:eastAsia="zh-CN" w:bidi="ar"/>
              </w:rPr>
              <w:t>品目号</w:t>
            </w:r>
          </w:p>
        </w:tc>
        <w:tc>
          <w:tcPr>
            <w:tcW w:w="86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bdr w:val="none" w:color="auto" w:sz="0" w:space="0"/>
                <w:lang w:val="en-US" w:eastAsia="zh-CN" w:bidi="ar"/>
              </w:rPr>
              <w:t>品目名称</w:t>
            </w:r>
          </w:p>
        </w:tc>
        <w:tc>
          <w:tcPr>
            <w:tcW w:w="160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bdr w:val="none" w:color="auto" w:sz="0" w:space="0"/>
                <w:lang w:val="en-US" w:eastAsia="zh-CN" w:bidi="ar"/>
              </w:rPr>
              <w:t>采购标的</w:t>
            </w:r>
          </w:p>
        </w:tc>
        <w:tc>
          <w:tcPr>
            <w:tcW w:w="41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bdr w:val="none" w:color="auto" w:sz="0" w:space="0"/>
                <w:lang w:val="en-US" w:eastAsia="zh-CN" w:bidi="ar"/>
              </w:rPr>
              <w:t>数量（单位）</w:t>
            </w:r>
          </w:p>
        </w:tc>
        <w:tc>
          <w:tcPr>
            <w:tcW w:w="63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bdr w:val="none" w:color="auto" w:sz="0" w:space="0"/>
                <w:lang w:val="en-US" w:eastAsia="zh-CN" w:bidi="ar"/>
              </w:rPr>
              <w:t>技术规格、参数及要求</w:t>
            </w:r>
          </w:p>
        </w:tc>
        <w:tc>
          <w:tcPr>
            <w:tcW w:w="66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bdr w:val="none" w:color="auto" w:sz="0" w:space="0"/>
                <w:lang w:val="en-US" w:eastAsia="zh-CN" w:bidi="ar"/>
              </w:rPr>
              <w:t>品目预算(元)</w:t>
            </w:r>
          </w:p>
        </w:tc>
        <w:tc>
          <w:tcPr>
            <w:tcW w:w="45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bdr w:val="none" w:color="auto" w:sz="0" w:space="0"/>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36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bdr w:val="none" w:color="auto" w:sz="0" w:space="0"/>
                <w:lang w:val="en-US" w:eastAsia="zh-CN" w:bidi="ar"/>
              </w:rPr>
              <w:t>1-1</w:t>
            </w:r>
          </w:p>
        </w:tc>
        <w:tc>
          <w:tcPr>
            <w:tcW w:w="86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bdr w:val="none" w:color="auto" w:sz="0" w:space="0"/>
                <w:lang w:val="en-US" w:eastAsia="zh-CN" w:bidi="ar"/>
              </w:rPr>
              <w:t>其他服务</w:t>
            </w:r>
          </w:p>
        </w:tc>
        <w:tc>
          <w:tcPr>
            <w:tcW w:w="160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bdr w:val="none" w:color="auto" w:sz="0" w:space="0"/>
                <w:lang w:val="en-US" w:eastAsia="zh-CN" w:bidi="ar"/>
              </w:rPr>
              <w:t>西安浐灞生态区绿地生态城2期东区1#别墅、围墙及白龙池路安全性检测鉴定项目</w:t>
            </w:r>
          </w:p>
        </w:tc>
        <w:tc>
          <w:tcPr>
            <w:tcW w:w="41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bdr w:val="none" w:color="auto" w:sz="0" w:space="0"/>
                <w:lang w:val="en-US" w:eastAsia="zh-CN" w:bidi="ar"/>
              </w:rPr>
              <w:t>1(项)</w:t>
            </w:r>
          </w:p>
        </w:tc>
        <w:tc>
          <w:tcPr>
            <w:tcW w:w="63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bdr w:val="none" w:color="auto" w:sz="0" w:space="0"/>
                <w:lang w:val="en-US" w:eastAsia="zh-CN" w:bidi="ar"/>
              </w:rPr>
              <w:t>详见采购文件</w:t>
            </w:r>
          </w:p>
        </w:tc>
        <w:tc>
          <w:tcPr>
            <w:tcW w:w="66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bdr w:val="none" w:color="auto" w:sz="0" w:space="0"/>
                <w:vertAlign w:val="baseline"/>
                <w:lang w:val="en-US" w:eastAsia="zh-CN" w:bidi="ar"/>
              </w:rPr>
              <w:t>461,000.00</w:t>
            </w:r>
          </w:p>
        </w:tc>
        <w:tc>
          <w:tcPr>
            <w:tcW w:w="45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ind w:right="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bdr w:val="none" w:color="auto" w:sz="0" w:space="0"/>
                <w:vertAlign w:val="baseline"/>
                <w:lang w:val="en-US" w:eastAsia="zh-CN" w:bidi="ar"/>
              </w:rPr>
              <w:t>-</w:t>
            </w:r>
          </w:p>
        </w:tc>
      </w:tr>
    </w:tbl>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本合同包不接受联合体投标</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合同履行期限：自合同签订后30天内提交正式报告并通过专家评审。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Autospacing="0" w:afterAutospacing="0" w:line="360" w:lineRule="auto"/>
        <w:ind w:left="0" w:right="0" w:firstLine="482" w:firstLineChars="200"/>
        <w:jc w:val="left"/>
        <w:textAlignment w:val="baseline"/>
        <w:outlineLvl w:val="9"/>
        <w:rPr>
          <w:rFonts w:hint="eastAsia" w:ascii="仿宋" w:hAnsi="仿宋" w:eastAsia="仿宋" w:cs="仿宋"/>
          <w:b w:val="0"/>
          <w:bCs w:val="0"/>
          <w:i w:val="0"/>
          <w:iCs w:val="0"/>
          <w:caps w:val="0"/>
          <w:color w:val="auto"/>
          <w:spacing w:val="0"/>
          <w:sz w:val="24"/>
          <w:szCs w:val="24"/>
          <w:highlight w:val="none"/>
        </w:rPr>
      </w:pPr>
      <w:r>
        <w:rPr>
          <w:rStyle w:val="54"/>
          <w:rFonts w:hint="eastAsia" w:ascii="仿宋" w:hAnsi="仿宋" w:eastAsia="仿宋" w:cs="仿宋"/>
          <w:b/>
          <w:bCs/>
          <w:i w:val="0"/>
          <w:iCs w:val="0"/>
          <w:caps w:val="0"/>
          <w:color w:val="auto"/>
          <w:spacing w:val="0"/>
          <w:sz w:val="24"/>
          <w:szCs w:val="24"/>
          <w:highlight w:val="none"/>
          <w:bdr w:val="none" w:color="auto" w:sz="0" w:space="0"/>
          <w:shd w:val="clear" w:fill="FFFFFF"/>
          <w:vertAlign w:val="baseline"/>
        </w:rPr>
        <w:t>二、申请人的资格要求：</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1.满足《中华人民共和国政府采购法》第二十二条规定;</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2.落实政府采购政策需满足的资格要求：</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合同包1(西安浐灞生态区绿地生态城2期东区1#别墅、围墙及白龙池路安全性检测鉴定项目)落实政府采购政策需满足的资格要求如下:</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本项目为专门面向中小企业的项目，供应商应为中小微企业、监狱企业或残疾人福利性单位。</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3.本项目的特定资格要求：</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合同包1(西安浐灞生态区绿地生态城2期东区1#别墅、围墙及白龙池路安全性检测鉴定项目)特定资格要求如下:</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3.1供应商在递交响应文件截止时间前被“信用中国”网站（www.creditchina.gov.cn）和中国政府采购网（www.ccgp.gov.cn）上被列入失信被执行人、重大税收违法失信主体、政府采购严重违法失信行为记录名单的，不得参加磋商；</w:t>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br w:type="textWrapping"/>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3.2供应商应授权合法的人员参加磋商，其中法定代表人（或单位负责人）直接参加磋商的，须出具法定代表人（或单位负责人）身份证明，并与营业执照上信息一致。法定代表人（或单位负责人）授权代表参加磋商的，须出具法定代表人（或单位负责人）授权书及授权代表身份证；</w:t>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br w:type="textWrapping"/>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3.3供应商不得存在下列情形之一：</w:t>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br w:type="textWrapping"/>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（1）单位负责人为同一人或者存在直接控股、管理关系的不同供应商，不得参加本次采购活动；</w:t>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br w:type="textWrapping"/>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（2）为本项目提供整体设计、规范编制或者项目管理、监理、检测等服务的供应商，不得再参加该采购项目的其他采购活动。</w:t>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br w:type="textWrapping"/>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3.4需向采购代理机构获取磋商文件，未向采购代理机构获取磋商文件的供应商均无资格参加磋商。</w:t>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br w:type="textWrapping"/>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3.5供应商具备建设行政主管部门颁发的建设工程质量检测机构资质证书（检测类别需包含：既有建筑物结构、使用功能、安全可靠性综合检测、评估、鉴定）。</w:t>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br w:type="textWrapping"/>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3.6供应商具备建设工程质量检测机构主体结构、地基基础、钢结构检测专项资质或建设工程质量检测机构综合资质。</w:t>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br w:type="textWrapping"/>
      </w: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3.7供应商具备省级及以上质量技术监督局颁发的检验检测机构资质认定证书（CMA）及其完整项目列表。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Autospacing="0" w:afterAutospacing="0" w:line="360" w:lineRule="auto"/>
        <w:ind w:left="0" w:right="0" w:firstLine="482" w:firstLineChars="200"/>
        <w:jc w:val="left"/>
        <w:textAlignment w:val="baseline"/>
        <w:outlineLvl w:val="9"/>
        <w:rPr>
          <w:rFonts w:hint="eastAsia" w:ascii="仿宋" w:hAnsi="仿宋" w:eastAsia="仿宋" w:cs="仿宋"/>
          <w:b w:val="0"/>
          <w:bCs w:val="0"/>
          <w:i w:val="0"/>
          <w:iCs w:val="0"/>
          <w:caps w:val="0"/>
          <w:color w:val="auto"/>
          <w:spacing w:val="0"/>
          <w:sz w:val="24"/>
          <w:szCs w:val="24"/>
          <w:highlight w:val="none"/>
        </w:rPr>
      </w:pPr>
      <w:r>
        <w:rPr>
          <w:rStyle w:val="54"/>
          <w:rFonts w:hint="eastAsia" w:ascii="仿宋" w:hAnsi="仿宋" w:eastAsia="仿宋" w:cs="仿宋"/>
          <w:b/>
          <w:bCs/>
          <w:i w:val="0"/>
          <w:iCs w:val="0"/>
          <w:caps w:val="0"/>
          <w:color w:val="auto"/>
          <w:spacing w:val="0"/>
          <w:sz w:val="24"/>
          <w:szCs w:val="24"/>
          <w:highlight w:val="none"/>
          <w:bdr w:val="none" w:color="auto" w:sz="0" w:space="0"/>
          <w:shd w:val="clear" w:fill="FFFFFF"/>
          <w:vertAlign w:val="baseline"/>
        </w:rPr>
        <w:t>三、获取采购文件</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时间： 2023年09月21日 至 2023年09月28日 ，每天上午 08:00:00 至 12:00:00 ，下午 14:00:00 至 18:00:00 （北京时间）</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途径：电子邮箱490786920@qq.com</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方式：在线获取</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售价： 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Autospacing="0" w:afterAutospacing="0" w:line="360" w:lineRule="auto"/>
        <w:ind w:left="0" w:right="0" w:firstLine="482" w:firstLineChars="200"/>
        <w:jc w:val="left"/>
        <w:textAlignment w:val="baseline"/>
        <w:outlineLvl w:val="9"/>
        <w:rPr>
          <w:rFonts w:hint="eastAsia" w:ascii="仿宋" w:hAnsi="仿宋" w:eastAsia="仿宋" w:cs="仿宋"/>
          <w:b w:val="0"/>
          <w:bCs w:val="0"/>
          <w:i w:val="0"/>
          <w:iCs w:val="0"/>
          <w:caps w:val="0"/>
          <w:color w:val="auto"/>
          <w:spacing w:val="0"/>
          <w:sz w:val="24"/>
          <w:szCs w:val="24"/>
          <w:highlight w:val="none"/>
        </w:rPr>
      </w:pPr>
      <w:r>
        <w:rPr>
          <w:rStyle w:val="54"/>
          <w:rFonts w:hint="eastAsia" w:ascii="仿宋" w:hAnsi="仿宋" w:eastAsia="仿宋" w:cs="仿宋"/>
          <w:b/>
          <w:bCs/>
          <w:i w:val="0"/>
          <w:iCs w:val="0"/>
          <w:caps w:val="0"/>
          <w:color w:val="auto"/>
          <w:spacing w:val="0"/>
          <w:sz w:val="24"/>
          <w:szCs w:val="24"/>
          <w:highlight w:val="none"/>
          <w:bdr w:val="none" w:color="auto" w:sz="0" w:space="0"/>
          <w:shd w:val="clear" w:fill="FFFFFF"/>
          <w:vertAlign w:val="baseline"/>
        </w:rPr>
        <w:t>四、响应文件提交</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截止时间： 2023年10月09日 14时30分00秒 （北京时间）</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地点：西安市高新二路2号山西证券大厦21层第八会议室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Autospacing="0" w:afterAutospacing="0" w:line="360" w:lineRule="auto"/>
        <w:ind w:left="0" w:right="0" w:firstLine="482" w:firstLineChars="200"/>
        <w:jc w:val="left"/>
        <w:textAlignment w:val="baseline"/>
        <w:outlineLvl w:val="9"/>
        <w:rPr>
          <w:rFonts w:hint="eastAsia" w:ascii="仿宋" w:hAnsi="仿宋" w:eastAsia="仿宋" w:cs="仿宋"/>
          <w:b w:val="0"/>
          <w:bCs w:val="0"/>
          <w:i w:val="0"/>
          <w:iCs w:val="0"/>
          <w:caps w:val="0"/>
          <w:color w:val="auto"/>
          <w:spacing w:val="0"/>
          <w:sz w:val="24"/>
          <w:szCs w:val="24"/>
          <w:highlight w:val="none"/>
        </w:rPr>
      </w:pPr>
      <w:r>
        <w:rPr>
          <w:rStyle w:val="54"/>
          <w:rFonts w:hint="eastAsia" w:ascii="仿宋" w:hAnsi="仿宋" w:eastAsia="仿宋" w:cs="仿宋"/>
          <w:b/>
          <w:bCs/>
          <w:i w:val="0"/>
          <w:iCs w:val="0"/>
          <w:caps w:val="0"/>
          <w:color w:val="auto"/>
          <w:spacing w:val="0"/>
          <w:sz w:val="24"/>
          <w:szCs w:val="24"/>
          <w:highlight w:val="none"/>
          <w:bdr w:val="none" w:color="auto" w:sz="0" w:space="0"/>
          <w:shd w:val="clear" w:fill="FFFFFF"/>
          <w:vertAlign w:val="baseline"/>
        </w:rPr>
        <w:t>五、开启</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时间： 2023年10月09日 14时30分00秒 （北京时间）</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地点：西安市高新二路2号山西证券大厦21层第八会议室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Autospacing="0" w:afterAutospacing="0" w:line="360" w:lineRule="auto"/>
        <w:ind w:left="0" w:right="0" w:firstLine="482" w:firstLineChars="200"/>
        <w:jc w:val="left"/>
        <w:textAlignment w:val="baseline"/>
        <w:outlineLvl w:val="9"/>
        <w:rPr>
          <w:rFonts w:hint="eastAsia" w:ascii="仿宋" w:hAnsi="仿宋" w:eastAsia="仿宋" w:cs="仿宋"/>
          <w:b w:val="0"/>
          <w:bCs w:val="0"/>
          <w:i w:val="0"/>
          <w:iCs w:val="0"/>
          <w:caps w:val="0"/>
          <w:color w:val="auto"/>
          <w:spacing w:val="0"/>
          <w:sz w:val="24"/>
          <w:szCs w:val="24"/>
          <w:highlight w:val="none"/>
        </w:rPr>
      </w:pPr>
      <w:r>
        <w:rPr>
          <w:rStyle w:val="54"/>
          <w:rFonts w:hint="eastAsia" w:ascii="仿宋" w:hAnsi="仿宋" w:eastAsia="仿宋" w:cs="仿宋"/>
          <w:b/>
          <w:bCs/>
          <w:i w:val="0"/>
          <w:iCs w:val="0"/>
          <w:caps w:val="0"/>
          <w:color w:val="auto"/>
          <w:spacing w:val="0"/>
          <w:sz w:val="24"/>
          <w:szCs w:val="24"/>
          <w:highlight w:val="none"/>
          <w:bdr w:val="none" w:color="auto" w:sz="0" w:space="0"/>
          <w:shd w:val="clear" w:fill="FFFFFF"/>
          <w:vertAlign w:val="baseline"/>
        </w:rPr>
        <w:t>六、公告期限</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Autospacing="0" w:afterAutospacing="0" w:line="360" w:lineRule="auto"/>
        <w:ind w:left="0" w:right="0" w:firstLine="482" w:firstLineChars="200"/>
        <w:jc w:val="left"/>
        <w:textAlignment w:val="baseline"/>
        <w:outlineLvl w:val="9"/>
        <w:rPr>
          <w:rFonts w:hint="eastAsia" w:ascii="仿宋" w:hAnsi="仿宋" w:eastAsia="仿宋" w:cs="仿宋"/>
          <w:b w:val="0"/>
          <w:bCs w:val="0"/>
          <w:i w:val="0"/>
          <w:iCs w:val="0"/>
          <w:caps w:val="0"/>
          <w:color w:val="auto"/>
          <w:spacing w:val="0"/>
          <w:sz w:val="24"/>
          <w:szCs w:val="24"/>
          <w:highlight w:val="none"/>
        </w:rPr>
      </w:pPr>
      <w:r>
        <w:rPr>
          <w:rStyle w:val="54"/>
          <w:rFonts w:hint="eastAsia" w:ascii="仿宋" w:hAnsi="仿宋" w:eastAsia="仿宋" w:cs="仿宋"/>
          <w:b/>
          <w:bCs/>
          <w:i w:val="0"/>
          <w:iCs w:val="0"/>
          <w:caps w:val="0"/>
          <w:color w:val="auto"/>
          <w:spacing w:val="0"/>
          <w:sz w:val="24"/>
          <w:szCs w:val="24"/>
          <w:highlight w:val="none"/>
          <w:bdr w:val="none" w:color="auto" w:sz="0" w:space="0"/>
          <w:shd w:val="clear" w:fill="FFFFFF"/>
          <w:vertAlign w:val="baseline"/>
        </w:rPr>
        <w:t>七、其他补充事宜</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kern w:val="0"/>
          <w:sz w:val="24"/>
          <w:szCs w:val="24"/>
          <w:highlight w:val="none"/>
          <w:bdr w:val="none" w:color="auto" w:sz="0" w:space="0"/>
          <w:shd w:val="clear" w:fill="FFFFFF"/>
          <w:vertAlign w:val="baseline"/>
          <w:lang w:val="en-US" w:eastAsia="zh-CN" w:bidi="ar"/>
        </w:rPr>
        <w:t>1、落实政府采购政策：</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1.4《财政部 国家发展改革委 信息产业部 关于印发无线局域网产品政府采购实施意见的通知》（财库〔2005〕366号）、《国家互联网信息办公室 工业和信息化部 公安部 财政部 国家认证认可监督管理委员会关于调整网络安全专用产品安全管理有关事项的公告》（2023年第1号）。</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1.5 《陕西省财政厅关于加快推进我省中小企业政府采购信用融资工作的通知》（陕财办采〔2020〕15 号）、陕西省财政厅关于印发《陕西省中小企业政府采购信用融资办法》（陕财办采〔2018〕23 号）。</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若享受以上政策优惠的企业，提供相应声明函或品目清单范围内产品的有效认证证书。</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2、采购文件获取方式：</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请将单位介绍信、身份证复印件加盖单位公章，合并在一份PDF格式文件中,在磋商文件发售截止时间前发送到电子邮箱490786920@qq.com中，邮件名称以“项目名称+公司名称”命名，并在邮件正文注明：（1）公司名称、（2）联系人、（3）联系电话，磋商文件将以电子版发送到相应邮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Autospacing="0" w:afterAutospacing="0" w:line="360" w:lineRule="auto"/>
        <w:ind w:left="0" w:right="0" w:firstLine="482" w:firstLineChars="200"/>
        <w:jc w:val="left"/>
        <w:textAlignment w:val="baseline"/>
        <w:outlineLvl w:val="9"/>
        <w:rPr>
          <w:rFonts w:hint="eastAsia" w:ascii="仿宋" w:hAnsi="仿宋" w:eastAsia="仿宋" w:cs="仿宋"/>
          <w:b w:val="0"/>
          <w:bCs w:val="0"/>
          <w:i w:val="0"/>
          <w:iCs w:val="0"/>
          <w:caps w:val="0"/>
          <w:color w:val="auto"/>
          <w:spacing w:val="0"/>
          <w:sz w:val="24"/>
          <w:szCs w:val="24"/>
          <w:highlight w:val="none"/>
        </w:rPr>
      </w:pPr>
      <w:r>
        <w:rPr>
          <w:rStyle w:val="54"/>
          <w:rFonts w:hint="eastAsia" w:ascii="仿宋" w:hAnsi="仿宋" w:eastAsia="仿宋" w:cs="仿宋"/>
          <w:b/>
          <w:bCs/>
          <w:i w:val="0"/>
          <w:iCs w:val="0"/>
          <w:caps w:val="0"/>
          <w:color w:val="auto"/>
          <w:spacing w:val="0"/>
          <w:sz w:val="24"/>
          <w:szCs w:val="24"/>
          <w:highlight w:val="none"/>
          <w:bdr w:val="none" w:color="auto" w:sz="0" w:space="0"/>
          <w:shd w:val="clear" w:fill="FFFFFF"/>
          <w:vertAlign w:val="baseline"/>
        </w:rPr>
        <w:t>八、对本次招标提出询问，请按以下方式联系。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bdr w:val="none" w:color="auto" w:sz="0" w:space="0"/>
          <w:shd w:val="clear" w:fill="FFFFFF"/>
          <w:vertAlign w:val="baseline"/>
        </w:rPr>
        <w:t>1.采购人信息</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名称：西安浐灞生态区管理委员会</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地址：西安浐灞生态区浐灞大道一号浐灞商务中心</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联系方式：029-83596064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bdr w:val="none" w:color="auto" w:sz="0" w:space="0"/>
          <w:shd w:val="clear" w:fill="FFFFFF"/>
          <w:vertAlign w:val="baseline"/>
        </w:rPr>
        <w:t>2.采购代理机构信息</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名称：陕西省采购招标有限责任公司</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地址：西安市高新二路2号山西证券大厦8层</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联系方式：029-85257505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bdr w:val="none" w:color="auto" w:sz="0" w:space="0"/>
          <w:shd w:val="clear" w:fill="FFFFFF"/>
          <w:vertAlign w:val="baseline"/>
        </w:rPr>
        <w:t>3.项目联系方式</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项目联系人：李峻豪、王莉</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bdr w:val="none" w:color="auto" w:sz="0" w:space="0"/>
          <w:shd w:val="clear" w:fill="FFFFFF"/>
          <w:vertAlign w:val="baseline"/>
        </w:rPr>
        <w:t>电话：029-85257505</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5280" w:firstLineChars="22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vertAlign w:val="baseline"/>
        </w:rPr>
        <w:t>陕西省采购招标有限责任公司</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left="0" w:right="0" w:firstLine="6000" w:firstLineChars="2500"/>
        <w:jc w:val="left"/>
        <w:textAlignment w:val="baseline"/>
        <w:outlineLvl w:val="9"/>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vertAlign w:val="baseline"/>
        </w:rPr>
        <w:t>2023年</w:t>
      </w:r>
      <w:r>
        <w:rPr>
          <w:rFonts w:hint="eastAsia" w:ascii="仿宋" w:hAnsi="仿宋" w:eastAsia="仿宋" w:cs="仿宋"/>
          <w:i w:val="0"/>
          <w:iCs w:val="0"/>
          <w:caps w:val="0"/>
          <w:color w:val="auto"/>
          <w:spacing w:val="0"/>
          <w:sz w:val="24"/>
          <w:szCs w:val="24"/>
          <w:highlight w:val="none"/>
          <w:shd w:val="clear" w:fill="FFFFFF"/>
          <w:vertAlign w:val="baseline"/>
          <w:lang w:val="en-US" w:eastAsia="zh-CN"/>
        </w:rPr>
        <w:t>09</w:t>
      </w:r>
      <w:r>
        <w:rPr>
          <w:rFonts w:hint="eastAsia" w:ascii="仿宋" w:hAnsi="仿宋" w:eastAsia="仿宋" w:cs="仿宋"/>
          <w:i w:val="0"/>
          <w:iCs w:val="0"/>
          <w:caps w:val="0"/>
          <w:color w:val="auto"/>
          <w:spacing w:val="0"/>
          <w:sz w:val="24"/>
          <w:szCs w:val="24"/>
          <w:highlight w:val="none"/>
          <w:shd w:val="clear" w:fill="FFFFFF"/>
          <w:vertAlign w:val="baseline"/>
        </w:rPr>
        <w:t>月</w:t>
      </w:r>
      <w:r>
        <w:rPr>
          <w:rFonts w:hint="eastAsia" w:ascii="仿宋" w:hAnsi="仿宋" w:eastAsia="仿宋" w:cs="仿宋"/>
          <w:i w:val="0"/>
          <w:iCs w:val="0"/>
          <w:caps w:val="0"/>
          <w:color w:val="auto"/>
          <w:spacing w:val="0"/>
          <w:sz w:val="24"/>
          <w:szCs w:val="24"/>
          <w:highlight w:val="none"/>
          <w:shd w:val="clear" w:fill="FFFFFF"/>
          <w:vertAlign w:val="baseline"/>
          <w:lang w:val="en-US" w:eastAsia="zh-CN"/>
        </w:rPr>
        <w:t>21</w:t>
      </w:r>
      <w:r>
        <w:rPr>
          <w:rFonts w:hint="eastAsia" w:ascii="仿宋" w:hAnsi="仿宋" w:eastAsia="仿宋" w:cs="仿宋"/>
          <w:i w:val="0"/>
          <w:iCs w:val="0"/>
          <w:caps w:val="0"/>
          <w:color w:val="auto"/>
          <w:spacing w:val="0"/>
          <w:sz w:val="24"/>
          <w:szCs w:val="24"/>
          <w:highlight w:val="none"/>
          <w:shd w:val="clear" w:fill="FFFFFF"/>
          <w:vertAlign w:val="baseline"/>
        </w:rPr>
        <w:t>日</w:t>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6"/>
        <w:spacing w:line="360" w:lineRule="auto"/>
        <w:rPr>
          <w:rStyle w:val="204"/>
          <w:rFonts w:ascii="仿宋" w:hAnsi="仿宋" w:eastAsia="仿宋" w:cs="仿宋"/>
          <w:color w:val="auto"/>
          <w:sz w:val="36"/>
          <w:szCs w:val="36"/>
          <w:highlight w:val="none"/>
        </w:rPr>
      </w:pPr>
      <w:bookmarkStart w:id="20" w:name="_Toc249515277"/>
      <w:bookmarkStart w:id="21" w:name="_Toc256342142"/>
      <w:bookmarkStart w:id="22" w:name="_Toc230099796"/>
      <w:bookmarkStart w:id="23" w:name="_Toc249515389"/>
      <w:bookmarkStart w:id="24" w:name="_Toc21126"/>
      <w:bookmarkStart w:id="25" w:name="_Toc232395211"/>
      <w:bookmarkStart w:id="26" w:name="_Toc230013631"/>
      <w:bookmarkStart w:id="27" w:name="_Toc230583540"/>
      <w:bookmarkStart w:id="28" w:name="_Toc232176271"/>
      <w:bookmarkStart w:id="29" w:name="_Toc58504446"/>
      <w:bookmarkStart w:id="30" w:name="_Toc5853"/>
      <w:bookmarkStart w:id="31" w:name="_Toc415499895"/>
      <w:bookmarkStart w:id="32" w:name="_Toc249525158"/>
      <w:bookmarkStart w:id="33" w:name="_Toc184043011"/>
      <w:bookmarkStart w:id="34" w:name="_Toc503063421"/>
      <w:bookmarkStart w:id="35" w:name="_Toc496324578"/>
      <w:bookmarkStart w:id="36" w:name="_Toc177189235"/>
      <w:bookmarkStart w:id="37" w:name="_Toc249515390"/>
      <w:bookmarkStart w:id="38" w:name="_Toc230013632"/>
      <w:bookmarkStart w:id="39" w:name="_Toc70687139"/>
      <w:bookmarkStart w:id="40" w:name="_Toc230099797"/>
      <w:bookmarkStart w:id="41" w:name="_Toc499711883"/>
      <w:bookmarkStart w:id="42" w:name="_Toc249525159"/>
      <w:bookmarkStart w:id="43" w:name="_Toc256342143"/>
      <w:bookmarkStart w:id="44" w:name="_Toc177995473"/>
      <w:bookmarkStart w:id="45" w:name="_Toc232176272"/>
      <w:bookmarkStart w:id="46" w:name="_Toc232395212"/>
      <w:bookmarkStart w:id="47" w:name="_Toc53722840"/>
      <w:bookmarkStart w:id="48" w:name="_Toc500747061"/>
      <w:bookmarkStart w:id="49" w:name="_Toc230583541"/>
      <w:bookmarkStart w:id="50" w:name="_Toc249515278"/>
      <w:bookmarkStart w:id="51" w:name="_Toc492955414"/>
      <w:bookmarkStart w:id="52" w:name="_Toc177817334"/>
      <w:bookmarkStart w:id="53" w:name="_Toc176882542"/>
      <w:bookmarkStart w:id="54" w:name="_Toc500746965"/>
      <w:bookmarkStart w:id="55" w:name="_Toc499711042"/>
      <w:bookmarkStart w:id="56" w:name="_Toc184043012"/>
      <w:bookmarkStart w:id="57" w:name="_Toc500747188"/>
      <w:r>
        <w:rPr>
          <w:rStyle w:val="204"/>
          <w:rFonts w:hint="eastAsia" w:ascii="仿宋" w:hAnsi="仿宋" w:eastAsia="仿宋" w:cs="仿宋"/>
          <w:color w:val="auto"/>
          <w:sz w:val="36"/>
          <w:szCs w:val="36"/>
          <w:highlight w:val="none"/>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81"/>
        <w:spacing w:before="240" w:beforeLines="100" w:after="24"/>
        <w:jc w:val="center"/>
        <w:rPr>
          <w:rFonts w:ascii="仿宋" w:hAnsi="仿宋" w:eastAsia="仿宋" w:cs="仿宋"/>
          <w:color w:val="auto"/>
          <w:sz w:val="28"/>
          <w:szCs w:val="28"/>
          <w:highlight w:val="none"/>
        </w:rPr>
      </w:pPr>
      <w:bookmarkStart w:id="58" w:name="_Toc15568"/>
      <w:bookmarkStart w:id="59" w:name="_Toc7063"/>
      <w:r>
        <w:rPr>
          <w:rFonts w:hint="eastAsia" w:ascii="仿宋" w:hAnsi="仿宋" w:eastAsia="仿宋" w:cs="仿宋"/>
          <w:color w:val="auto"/>
          <w:sz w:val="28"/>
          <w:szCs w:val="28"/>
          <w:highlight w:val="none"/>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rPr>
          <w:rFonts w:ascii="仿宋" w:hAnsi="仿宋" w:eastAsia="仿宋" w:cs="仿宋"/>
          <w:color w:val="auto"/>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本表是对供应商须知的具体补充和修改，如有矛盾，均以本表为准。</w:t>
      </w:r>
    </w:p>
    <w:p>
      <w:pPr>
        <w:ind w:left="720" w:hanging="720" w:hangingChars="343"/>
        <w:rPr>
          <w:rFonts w:ascii="仿宋" w:hAnsi="仿宋" w:eastAsia="仿宋" w:cs="仿宋"/>
          <w:b/>
          <w:color w:val="auto"/>
          <w:sz w:val="20"/>
          <w:szCs w:val="20"/>
          <w:highlight w:val="none"/>
        </w:rPr>
      </w:pPr>
      <w:r>
        <w:rPr>
          <w:rFonts w:hint="eastAsia" w:ascii="仿宋" w:hAnsi="仿宋" w:eastAsia="仿宋" w:cs="仿宋"/>
          <w:color w:val="auto"/>
          <w:szCs w:val="21"/>
          <w:highlight w:val="none"/>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31"/>
              <w:adjustRightInd w:val="0"/>
              <w:snapToGrid w:val="0"/>
              <w:spacing w:line="240" w:lineRule="auto"/>
              <w:jc w:val="center"/>
              <w:rPr>
                <w:rFonts w:ascii="仿宋" w:hAnsi="仿宋" w:eastAsia="仿宋" w:cs="仿宋"/>
                <w:b/>
                <w:color w:val="auto"/>
                <w:sz w:val="24"/>
                <w:szCs w:val="24"/>
                <w:highlight w:val="none"/>
              </w:rPr>
            </w:pPr>
            <w:bookmarkStart w:id="60" w:name="_Hlt14560610"/>
            <w:bookmarkEnd w:id="60"/>
            <w:bookmarkStart w:id="61" w:name="_Toc500747190"/>
            <w:bookmarkStart w:id="62" w:name="_Toc496324580"/>
            <w:bookmarkStart w:id="63" w:name="_Toc500746967"/>
            <w:bookmarkStart w:id="64" w:name="_Toc499711885"/>
            <w:bookmarkStart w:id="65" w:name="_Toc500747063"/>
            <w:bookmarkStart w:id="66" w:name="_Toc385992326"/>
            <w:bookmarkStart w:id="67" w:name="_Toc499711044"/>
            <w:bookmarkStart w:id="68" w:name="_Toc492955416"/>
            <w:bookmarkStart w:id="69" w:name="_Toc503063423"/>
            <w:bookmarkStart w:id="70" w:name="_Toc389620165"/>
            <w:r>
              <w:rPr>
                <w:rFonts w:hint="eastAsia" w:ascii="仿宋" w:hAnsi="仿宋" w:eastAsia="仿宋" w:cs="仿宋"/>
                <w:b/>
                <w:color w:val="auto"/>
                <w:sz w:val="24"/>
                <w:szCs w:val="24"/>
                <w:highlight w:val="none"/>
              </w:rPr>
              <w:t>条款号</w:t>
            </w:r>
          </w:p>
        </w:tc>
        <w:tc>
          <w:tcPr>
            <w:tcW w:w="7650" w:type="dxa"/>
            <w:vAlign w:val="center"/>
          </w:tcPr>
          <w:p>
            <w:pPr>
              <w:pStyle w:val="31"/>
              <w:adjustRightInd w:val="0"/>
              <w:snapToGrid w:val="0"/>
              <w:spacing w:line="240" w:lineRule="auto"/>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7650" w:type="dxa"/>
            <w:vAlign w:val="center"/>
          </w:tcPr>
          <w:p>
            <w:pPr>
              <w:pStyle w:val="31"/>
              <w:adjustRightInd w:val="0"/>
              <w:snapToGrid w:val="0"/>
              <w:spacing w:line="24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西安浐灞生态区绿地生态城2期东区1#别墅、围墙及白龙池路安全性检测鉴定项目</w:t>
            </w:r>
          </w:p>
          <w:p>
            <w:pPr>
              <w:pStyle w:val="31"/>
              <w:adjustRightInd w:val="0"/>
              <w:snapToGrid w:val="0"/>
              <w:spacing w:line="24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SCZC2023-CS-1763-001</w:t>
            </w:r>
          </w:p>
          <w:p>
            <w:pPr>
              <w:pStyle w:val="31"/>
              <w:adjustRightInd w:val="0"/>
              <w:snapToGrid w:val="0"/>
              <w:spacing w:line="24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资金来源：财政资金</w:t>
            </w:r>
          </w:p>
          <w:p>
            <w:pPr>
              <w:pStyle w:val="31"/>
              <w:adjustRightInd w:val="0"/>
              <w:snapToGrid w:val="0"/>
              <w:spacing w:line="24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预算金额：</w:t>
            </w:r>
            <w:r>
              <w:rPr>
                <w:rFonts w:hint="eastAsia" w:ascii="仿宋" w:hAnsi="仿宋" w:eastAsia="仿宋" w:cs="仿宋"/>
                <w:color w:val="auto"/>
                <w:sz w:val="24"/>
                <w:szCs w:val="24"/>
                <w:highlight w:val="none"/>
                <w:lang w:eastAsia="zh-CN"/>
              </w:rPr>
              <w:t>461,000.00</w:t>
            </w:r>
            <w:r>
              <w:rPr>
                <w:rFonts w:hint="eastAsia" w:ascii="仿宋" w:hAnsi="仿宋" w:eastAsia="仿宋" w:cs="仿宋"/>
                <w:color w:val="auto"/>
                <w:sz w:val="24"/>
                <w:szCs w:val="24"/>
                <w:highlight w:val="none"/>
              </w:rPr>
              <w:t>元</w:t>
            </w:r>
          </w:p>
          <w:p>
            <w:pPr>
              <w:pStyle w:val="31"/>
              <w:adjustRightInd w:val="0"/>
              <w:snapToGrid w:val="0"/>
              <w:spacing w:line="24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采购方式：竞争性磋商</w:t>
            </w:r>
          </w:p>
          <w:p>
            <w:pPr>
              <w:pStyle w:val="31"/>
              <w:adjustRightInd w:val="0"/>
              <w:snapToGrid w:val="0"/>
              <w:spacing w:line="24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采购内容：详见本磋商文件第五章</w:t>
            </w:r>
          </w:p>
          <w:p>
            <w:pPr>
              <w:pStyle w:val="31"/>
              <w:adjustRightInd w:val="0"/>
              <w:snapToGrid w:val="0"/>
              <w:spacing w:line="24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项目所属行业：其他未列明行业</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p>
        </w:tc>
        <w:tc>
          <w:tcPr>
            <w:tcW w:w="7650" w:type="dxa"/>
            <w:vAlign w:val="center"/>
          </w:tcPr>
          <w:p>
            <w:pPr>
              <w:pStyle w:val="31"/>
              <w:adjustRightInd w:val="0"/>
              <w:snapToGrid w:val="0"/>
              <w:spacing w:line="24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西安浐灞生态区管理委员会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c>
          <w:tcPr>
            <w:tcW w:w="7650" w:type="dxa"/>
            <w:vAlign w:val="center"/>
          </w:tcPr>
          <w:p>
            <w:pPr>
              <w:pStyle w:val="31"/>
              <w:adjustRightInd w:val="0"/>
              <w:snapToGrid w:val="0"/>
              <w:spacing w:line="24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2.3</w:t>
            </w:r>
          </w:p>
        </w:tc>
        <w:tc>
          <w:tcPr>
            <w:tcW w:w="7650" w:type="dxa"/>
            <w:vAlign w:val="center"/>
          </w:tcPr>
          <w:p>
            <w:pPr>
              <w:pStyle w:val="31"/>
              <w:adjustRightInd w:val="0"/>
              <w:snapToGrid w:val="0"/>
              <w:spacing w:line="24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邀请供应商的方式：</w:t>
            </w:r>
          </w:p>
          <w:p>
            <w:pPr>
              <w:pStyle w:val="31"/>
              <w:adjustRightInd w:val="0"/>
              <w:snapToGrid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（1）发布竞争性磋商公告</w:t>
            </w:r>
          </w:p>
          <w:p>
            <w:pPr>
              <w:pStyle w:val="31"/>
              <w:adjustRightInd w:val="0"/>
              <w:snapToGrid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（2）采购人和评审专家分别书面推荐的方式邀请不少于3 家</w:t>
            </w:r>
          </w:p>
          <w:p>
            <w:pPr>
              <w:pStyle w:val="31"/>
              <w:adjustRightInd w:val="0"/>
              <w:snapToGrid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符合相应资格条件的供应商</w:t>
            </w:r>
          </w:p>
          <w:p>
            <w:pPr>
              <w:pStyle w:val="31"/>
              <w:adjustRightInd w:val="0"/>
              <w:snapToGrid w:val="0"/>
              <w:spacing w:line="24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w:t>
            </w:r>
          </w:p>
        </w:tc>
        <w:tc>
          <w:tcPr>
            <w:tcW w:w="7650" w:type="dxa"/>
            <w:vAlign w:val="center"/>
          </w:tcPr>
          <w:p>
            <w:pPr>
              <w:pStyle w:val="15"/>
              <w:spacing w:line="360" w:lineRule="auto"/>
              <w:rPr>
                <w:rFonts w:ascii="仿宋" w:hAnsi="仿宋" w:eastAsia="仿宋" w:cs="仿宋"/>
                <w:color w:val="auto"/>
                <w:highlight w:val="none"/>
              </w:rPr>
            </w:pPr>
            <w:r>
              <w:rPr>
                <w:rFonts w:hint="eastAsia" w:ascii="仿宋" w:hAnsi="仿宋" w:eastAsia="仿宋" w:cs="仿宋"/>
                <w:color w:val="auto"/>
                <w:kern w:val="2"/>
                <w:highlight w:val="none"/>
              </w:rPr>
              <w:t>对供应商的资格要求：见竞争性磋商公告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7650" w:type="dxa"/>
            <w:vAlign w:val="center"/>
          </w:tcPr>
          <w:p>
            <w:pPr>
              <w:pStyle w:val="15"/>
              <w:spacing w:line="360" w:lineRule="auto"/>
              <w:rPr>
                <w:rFonts w:ascii="仿宋" w:hAnsi="仿宋" w:eastAsia="仿宋" w:cs="仿宋"/>
                <w:color w:val="auto"/>
                <w:kern w:val="2"/>
                <w:highlight w:val="none"/>
              </w:rPr>
            </w:pPr>
            <w:r>
              <w:rPr>
                <w:rFonts w:hint="eastAsia" w:ascii="仿宋" w:hAnsi="仿宋" w:eastAsia="仿宋" w:cs="仿宋"/>
                <w:color w:val="auto"/>
                <w:kern w:val="2"/>
                <w:highlight w:val="none"/>
              </w:rPr>
              <w:t>是否允许采购进口产品：</w:t>
            </w:r>
            <w:r>
              <w:rPr>
                <w:rFonts w:hint="eastAsia" w:ascii="仿宋" w:hAnsi="仿宋" w:eastAsia="仿宋" w:cs="仿宋"/>
                <w:color w:val="auto"/>
                <w:kern w:val="2"/>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3.6</w:t>
            </w:r>
          </w:p>
        </w:tc>
        <w:tc>
          <w:tcPr>
            <w:tcW w:w="7650" w:type="dxa"/>
            <w:vAlign w:val="center"/>
          </w:tcPr>
          <w:p>
            <w:pPr>
              <w:pStyle w:val="15"/>
              <w:spacing w:line="360" w:lineRule="auto"/>
              <w:rPr>
                <w:rFonts w:ascii="仿宋" w:hAnsi="仿宋" w:eastAsia="仿宋" w:cs="仿宋"/>
                <w:color w:val="auto"/>
                <w:kern w:val="2"/>
                <w:highlight w:val="none"/>
              </w:rPr>
            </w:pPr>
            <w:r>
              <w:rPr>
                <w:rFonts w:hint="eastAsia" w:ascii="仿宋" w:hAnsi="仿宋" w:eastAsia="仿宋" w:cs="仿宋"/>
                <w:color w:val="auto"/>
                <w:kern w:val="2"/>
                <w:highlight w:val="none"/>
              </w:rPr>
              <w:t>是否允许联合体磋商：</w:t>
            </w:r>
            <w:r>
              <w:rPr>
                <w:rFonts w:hint="eastAsia" w:ascii="仿宋" w:hAnsi="仿宋" w:eastAsia="仿宋" w:cs="仿宋"/>
                <w:color w:val="auto"/>
                <w:kern w:val="2"/>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3.7</w:t>
            </w:r>
          </w:p>
        </w:tc>
        <w:tc>
          <w:tcPr>
            <w:tcW w:w="7650" w:type="dxa"/>
            <w:vAlign w:val="center"/>
          </w:tcPr>
          <w:p>
            <w:pPr>
              <w:pStyle w:val="15"/>
              <w:spacing w:line="360" w:lineRule="auto"/>
              <w:rPr>
                <w:rFonts w:ascii="仿宋" w:hAnsi="仿宋" w:eastAsia="仿宋" w:cs="仿宋"/>
                <w:color w:val="auto"/>
                <w:kern w:val="2"/>
                <w:highlight w:val="none"/>
              </w:rPr>
            </w:pPr>
            <w:r>
              <w:rPr>
                <w:rFonts w:hint="eastAsia" w:ascii="仿宋" w:hAnsi="仿宋" w:eastAsia="仿宋" w:cs="仿宋"/>
                <w:color w:val="auto"/>
                <w:highlight w:val="none"/>
              </w:rPr>
              <w:t>是否为专门面向中小企业采购：</w:t>
            </w:r>
            <w:r>
              <w:rPr>
                <w:rFonts w:hint="eastAsia" w:ascii="仿宋" w:hAnsi="仿宋" w:eastAsia="仿宋" w:cs="仿宋"/>
                <w:color w:val="auto"/>
                <w:highlight w:val="none"/>
                <w:u w:val="single"/>
              </w:rPr>
              <w:t xml:space="preserve">  是</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12.1</w:t>
            </w:r>
          </w:p>
        </w:tc>
        <w:tc>
          <w:tcPr>
            <w:tcW w:w="7650" w:type="dxa"/>
            <w:vAlign w:val="center"/>
          </w:tcPr>
          <w:p>
            <w:pPr>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rPr>
              <w:t>成交响应报价为提供磋商文件要求服务的所有费用，包括但不限于提供人工费、材料费、管理费、供应商应缴纳的所有税费等全部费用。</w:t>
            </w:r>
          </w:p>
          <w:p>
            <w:pPr>
              <w:pStyle w:val="31"/>
              <w:adjustRightInd w:val="0"/>
              <w:snapToGrid w:val="0"/>
              <w:spacing w:line="240" w:lineRule="auto"/>
              <w:rPr>
                <w:rFonts w:ascii="仿宋" w:hAnsi="仿宋" w:eastAsia="仿宋" w:cs="仿宋"/>
                <w:color w:val="auto"/>
                <w:sz w:val="24"/>
                <w:highlight w:val="none"/>
              </w:rPr>
            </w:pPr>
            <w:r>
              <w:rPr>
                <w:rFonts w:hint="eastAsia" w:ascii="仿宋" w:hAnsi="仿宋" w:eastAsia="仿宋" w:cs="仿宋"/>
                <w:color w:val="auto"/>
                <w:sz w:val="24"/>
                <w:highlight w:val="none"/>
              </w:rPr>
              <w:t>（1）报价货币：人民币；</w:t>
            </w:r>
          </w:p>
          <w:p>
            <w:pPr>
              <w:pStyle w:val="31"/>
              <w:adjustRightInd w:val="0"/>
              <w:snapToGrid w:val="0"/>
              <w:spacing w:line="240" w:lineRule="auto"/>
              <w:rPr>
                <w:rFonts w:ascii="仿宋" w:hAnsi="仿宋" w:eastAsia="仿宋" w:cs="仿宋"/>
                <w:color w:val="auto"/>
                <w:sz w:val="24"/>
                <w:highlight w:val="none"/>
              </w:rPr>
            </w:pPr>
            <w:r>
              <w:rPr>
                <w:rFonts w:hint="eastAsia" w:ascii="仿宋" w:hAnsi="仿宋" w:eastAsia="仿宋" w:cs="仿宋"/>
                <w:color w:val="auto"/>
                <w:sz w:val="24"/>
                <w:highlight w:val="none"/>
              </w:rPr>
              <w:t>（2）按照分项报价表进行分项报价。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14.1</w:t>
            </w:r>
          </w:p>
        </w:tc>
        <w:tc>
          <w:tcPr>
            <w:tcW w:w="7650" w:type="dxa"/>
            <w:vAlign w:val="center"/>
          </w:tcPr>
          <w:p>
            <w:pPr>
              <w:pStyle w:val="31"/>
              <w:adjustRightInd w:val="0"/>
              <w:snapToGrid w:val="0"/>
              <w:spacing w:line="240" w:lineRule="auto"/>
              <w:rPr>
                <w:rFonts w:ascii="仿宋" w:hAnsi="仿宋" w:eastAsia="仿宋" w:cs="仿宋"/>
                <w:color w:val="auto"/>
                <w:sz w:val="24"/>
                <w:highlight w:val="none"/>
              </w:rPr>
            </w:pPr>
            <w:r>
              <w:rPr>
                <w:rFonts w:hint="eastAsia" w:ascii="仿宋" w:hAnsi="仿宋" w:eastAsia="仿宋" w:cs="仿宋"/>
                <w:color w:val="auto"/>
                <w:sz w:val="24"/>
                <w:highlight w:val="none"/>
              </w:rPr>
              <w:t>本项目无须提供磋商保证金。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15.1</w:t>
            </w:r>
          </w:p>
        </w:tc>
        <w:tc>
          <w:tcPr>
            <w:tcW w:w="7650" w:type="dxa"/>
            <w:vAlign w:val="center"/>
          </w:tcPr>
          <w:p>
            <w:pPr>
              <w:pStyle w:val="31"/>
              <w:adjustRightInd w:val="0"/>
              <w:snapToGrid w:val="0"/>
              <w:spacing w:line="24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磋商有效期：自响应文件递交之日起</w:t>
            </w:r>
            <w:r>
              <w:rPr>
                <w:rFonts w:hint="eastAsia" w:ascii="仿宋" w:hAnsi="仿宋" w:eastAsia="仿宋" w:cs="仿宋"/>
                <w:color w:val="auto"/>
                <w:sz w:val="24"/>
                <w:szCs w:val="24"/>
                <w:highlight w:val="none"/>
                <w:u w:val="single"/>
              </w:rPr>
              <w:t xml:space="preserve">  60  </w:t>
            </w:r>
            <w:r>
              <w:rPr>
                <w:rFonts w:hint="eastAsia" w:ascii="仿宋" w:hAnsi="仿宋" w:eastAsia="仿宋" w:cs="仿宋"/>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16.1</w:t>
            </w:r>
          </w:p>
        </w:tc>
        <w:tc>
          <w:tcPr>
            <w:tcW w:w="7650" w:type="dxa"/>
            <w:vAlign w:val="center"/>
          </w:tcPr>
          <w:p>
            <w:pPr>
              <w:pStyle w:val="31"/>
              <w:adjustRightInd w:val="0"/>
              <w:snapToGrid w:val="0"/>
              <w:spacing w:line="24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17.2</w:t>
            </w:r>
          </w:p>
        </w:tc>
        <w:tc>
          <w:tcPr>
            <w:tcW w:w="7650" w:type="dxa"/>
            <w:vAlign w:val="center"/>
          </w:tcPr>
          <w:p>
            <w:pPr>
              <w:pStyle w:val="31"/>
              <w:adjustRightInd w:val="0"/>
              <w:snapToGrid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密封袋（箱）上须标注：</w:t>
            </w:r>
          </w:p>
          <w:p>
            <w:pPr>
              <w:pStyle w:val="31"/>
              <w:adjustRightInd w:val="0"/>
              <w:snapToGrid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    （l）采购项目编号：</w:t>
            </w:r>
            <w:r>
              <w:rPr>
                <w:rFonts w:hint="eastAsia" w:ascii="仿宋" w:hAnsi="仿宋" w:eastAsia="仿宋" w:cs="仿宋"/>
                <w:color w:val="auto"/>
                <w:sz w:val="24"/>
                <w:szCs w:val="24"/>
                <w:highlight w:val="none"/>
                <w:lang w:eastAsia="zh-CN"/>
              </w:rPr>
              <w:t>SCZC2023-CS-1763-001</w:t>
            </w:r>
          </w:p>
          <w:p>
            <w:pPr>
              <w:pStyle w:val="31"/>
              <w:adjustRightInd w:val="0"/>
              <w:snapToGrid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    （2）项目名称：</w:t>
            </w:r>
            <w:r>
              <w:rPr>
                <w:rFonts w:hint="eastAsia" w:ascii="仿宋" w:hAnsi="仿宋" w:eastAsia="仿宋" w:cs="仿宋"/>
                <w:color w:val="auto"/>
                <w:sz w:val="24"/>
                <w:szCs w:val="24"/>
                <w:highlight w:val="none"/>
                <w:lang w:eastAsia="zh-CN"/>
              </w:rPr>
              <w:t>西安浐灞生态区绿地生态城2期东区1#别墅、围墙及白龙池路安全性检测鉴定项目</w:t>
            </w:r>
          </w:p>
          <w:p>
            <w:pPr>
              <w:pStyle w:val="31"/>
              <w:adjustRightInd w:val="0"/>
              <w:snapToGrid w:val="0"/>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（3）供应商的名称、地址、联系人、电话和传真。</w:t>
            </w:r>
          </w:p>
          <w:p>
            <w:pPr>
              <w:pStyle w:val="31"/>
              <w:adjustRightInd w:val="0"/>
              <w:snapToGrid w:val="0"/>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（4）在</w:t>
            </w:r>
            <w:r>
              <w:rPr>
                <w:rFonts w:hint="eastAsia" w:ascii="仿宋" w:hAnsi="仿宋" w:eastAsia="仿宋" w:cs="仿宋"/>
                <w:color w:val="auto"/>
                <w:sz w:val="24"/>
                <w:szCs w:val="24"/>
                <w:highlight w:val="none"/>
                <w:u w:val="single"/>
              </w:rPr>
              <w:t xml:space="preserve"> 2023年**月**日**时**分（北京时间）</w:t>
            </w:r>
            <w:r>
              <w:rPr>
                <w:rFonts w:hint="eastAsia" w:ascii="仿宋" w:hAnsi="仿宋" w:eastAsia="仿宋" w:cs="仿宋"/>
                <w:color w:val="auto"/>
                <w:sz w:val="24"/>
                <w:szCs w:val="24"/>
                <w:highlight w:val="none"/>
              </w:rPr>
              <w:t>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17.3</w:t>
            </w:r>
          </w:p>
        </w:tc>
        <w:tc>
          <w:tcPr>
            <w:tcW w:w="7650" w:type="dxa"/>
            <w:vAlign w:val="center"/>
          </w:tcPr>
          <w:p>
            <w:pPr>
              <w:pStyle w:val="31"/>
              <w:adjustRightInd w:val="0"/>
              <w:snapToGrid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本项目不要求提交样品。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18.1</w:t>
            </w:r>
          </w:p>
        </w:tc>
        <w:tc>
          <w:tcPr>
            <w:tcW w:w="7650" w:type="dxa"/>
            <w:vAlign w:val="center"/>
          </w:tcPr>
          <w:p>
            <w:pPr>
              <w:tabs>
                <w:tab w:val="left" w:pos="588"/>
              </w:tabs>
              <w:spacing w:line="360" w:lineRule="auto"/>
              <w:rPr>
                <w:rFonts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响应文件递交截止时间：</w:t>
            </w:r>
            <w:r>
              <w:rPr>
                <w:rFonts w:hint="eastAsia" w:ascii="仿宋" w:hAnsi="仿宋" w:eastAsia="仿宋" w:cs="仿宋"/>
                <w:color w:val="auto"/>
                <w:sz w:val="24"/>
                <w:highlight w:val="none"/>
                <w:u w:val="single"/>
              </w:rPr>
              <w:t xml:space="preserve"> 2023年</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时30分</w:t>
            </w:r>
            <w:r>
              <w:rPr>
                <w:rFonts w:hint="eastAsia" w:ascii="仿宋" w:hAnsi="仿宋" w:eastAsia="仿宋" w:cs="仿宋"/>
                <w:color w:val="auto"/>
                <w:kern w:val="24"/>
                <w:sz w:val="24"/>
                <w:szCs w:val="21"/>
                <w:highlight w:val="none"/>
              </w:rPr>
              <w:t>（北京时间）。</w:t>
            </w:r>
          </w:p>
          <w:p>
            <w:pPr>
              <w:tabs>
                <w:tab w:val="left" w:pos="588"/>
              </w:tabs>
              <w:spacing w:line="360" w:lineRule="auto"/>
              <w:rPr>
                <w:rFonts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响应文件递交地点：西安市高新二路2号山西证券大厦21层第八会议室</w:t>
            </w:r>
          </w:p>
          <w:p>
            <w:pPr>
              <w:tabs>
                <w:tab w:val="left" w:pos="588"/>
              </w:tabs>
              <w:spacing w:line="360" w:lineRule="auto"/>
              <w:rPr>
                <w:rFonts w:ascii="仿宋" w:hAnsi="仿宋" w:eastAsia="仿宋" w:cs="仿宋"/>
                <w:color w:val="auto"/>
                <w:sz w:val="24"/>
                <w:highlight w:val="none"/>
              </w:rPr>
            </w:pPr>
            <w:r>
              <w:rPr>
                <w:rFonts w:hint="eastAsia" w:ascii="仿宋" w:hAnsi="仿宋" w:eastAsia="仿宋" w:cs="仿宋"/>
                <w:color w:val="auto"/>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31"/>
              <w:adjustRightInd w:val="0"/>
              <w:snapToGrid w:val="0"/>
              <w:spacing w:line="24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21.1</w:t>
            </w:r>
          </w:p>
        </w:tc>
        <w:tc>
          <w:tcPr>
            <w:tcW w:w="7650" w:type="dxa"/>
            <w:vAlign w:val="center"/>
          </w:tcPr>
          <w:p>
            <w:pPr>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磋商小组由</w:t>
            </w:r>
            <w:r>
              <w:rPr>
                <w:rFonts w:hint="eastAsia" w:ascii="仿宋" w:hAnsi="仿宋" w:eastAsia="仿宋" w:cs="仿宋"/>
                <w:b/>
                <w:bCs/>
                <w:color w:val="auto"/>
                <w:sz w:val="24"/>
                <w:highlight w:val="none"/>
                <w:u w:val="single"/>
              </w:rPr>
              <w:t xml:space="preserve">3 </w:t>
            </w:r>
            <w:r>
              <w:rPr>
                <w:rFonts w:hint="eastAsia" w:ascii="仿宋" w:hAnsi="仿宋" w:eastAsia="仿宋" w:cs="仿宋"/>
                <w:color w:val="auto"/>
                <w:sz w:val="24"/>
                <w:highlight w:val="none"/>
              </w:rPr>
              <w:t>人组成，其中评审专家</w:t>
            </w:r>
            <w:r>
              <w:rPr>
                <w:rFonts w:hint="eastAsia" w:ascii="仿宋" w:hAnsi="仿宋" w:eastAsia="仿宋" w:cs="仿宋"/>
                <w:color w:val="auto"/>
                <w:sz w:val="24"/>
                <w:highlight w:val="none"/>
                <w:u w:val="single"/>
              </w:rPr>
              <w:t xml:space="preserve"> 2 </w:t>
            </w:r>
            <w:r>
              <w:rPr>
                <w:rFonts w:hint="eastAsia" w:ascii="仿宋" w:hAnsi="仿宋" w:eastAsia="仿宋" w:cs="仿宋"/>
                <w:color w:val="auto"/>
                <w:sz w:val="24"/>
                <w:highlight w:val="none"/>
              </w:rPr>
              <w:t>人，采购人代表</w:t>
            </w:r>
            <w:r>
              <w:rPr>
                <w:rFonts w:hint="eastAsia" w:ascii="仿宋" w:hAnsi="仿宋" w:eastAsia="仿宋" w:cs="仿宋"/>
                <w:color w:val="auto"/>
                <w:sz w:val="24"/>
                <w:highlight w:val="none"/>
                <w:u w:val="single"/>
              </w:rPr>
              <w:t xml:space="preserve"> 1 </w:t>
            </w:r>
            <w:r>
              <w:rPr>
                <w:rFonts w:hint="eastAsia" w:ascii="仿宋" w:hAnsi="仿宋" w:eastAsia="仿宋" w:cs="仿宋"/>
                <w:color w:val="auto"/>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28.1</w:t>
            </w:r>
          </w:p>
        </w:tc>
        <w:tc>
          <w:tcPr>
            <w:tcW w:w="7650" w:type="dxa"/>
            <w:vAlign w:val="center"/>
          </w:tcPr>
          <w:p>
            <w:pPr>
              <w:jc w:val="left"/>
              <w:rPr>
                <w:rFonts w:ascii="仿宋" w:hAnsi="仿宋" w:eastAsia="仿宋" w:cs="仿宋"/>
                <w:color w:val="auto"/>
                <w:highlight w:val="none"/>
              </w:rPr>
            </w:pPr>
            <w:r>
              <w:rPr>
                <w:rFonts w:hint="eastAsia" w:ascii="仿宋" w:hAnsi="仿宋" w:eastAsia="仿宋" w:cs="仿宋"/>
                <w:color w:val="auto"/>
                <w:sz w:val="24"/>
                <w:highlight w:val="none"/>
              </w:rPr>
              <w:t>本项目不要求履约保证金。</w:t>
            </w:r>
          </w:p>
        </w:tc>
      </w:tr>
    </w:tbl>
    <w:p>
      <w:pPr>
        <w:rPr>
          <w:rFonts w:ascii="仿宋" w:hAnsi="仿宋" w:eastAsia="仿宋" w:cs="仿宋"/>
          <w:color w:val="auto"/>
          <w:sz w:val="30"/>
          <w:szCs w:val="30"/>
          <w:highlight w:val="none"/>
        </w:rPr>
      </w:pPr>
      <w:bookmarkStart w:id="71" w:name="_Toc249515391"/>
      <w:bookmarkStart w:id="72" w:name="_Toc176882543"/>
      <w:bookmarkStart w:id="73" w:name="_Toc177995474"/>
      <w:bookmarkStart w:id="74" w:name="_Toc53722841"/>
      <w:bookmarkStart w:id="75" w:name="_Toc230583542"/>
      <w:bookmarkStart w:id="76" w:name="_Toc232176273"/>
      <w:bookmarkStart w:id="77" w:name="_Toc256342144"/>
      <w:bookmarkStart w:id="78" w:name="_Toc177817335"/>
      <w:bookmarkStart w:id="79" w:name="_Toc70687140"/>
      <w:bookmarkStart w:id="80" w:name="_Toc249525160"/>
      <w:bookmarkStart w:id="81" w:name="_Toc184043013"/>
      <w:bookmarkStart w:id="82" w:name="_Toc249515279"/>
      <w:bookmarkStart w:id="83" w:name="_Toc232395213"/>
      <w:bookmarkStart w:id="84" w:name="_Toc230099798"/>
      <w:bookmarkStart w:id="85" w:name="_Toc177189236"/>
      <w:bookmarkStart w:id="86" w:name="_Toc230013633"/>
      <w:r>
        <w:rPr>
          <w:rFonts w:hint="eastAsia" w:ascii="仿宋" w:hAnsi="仿宋" w:eastAsia="仿宋" w:cs="仿宋"/>
          <w:color w:val="auto"/>
          <w:sz w:val="30"/>
          <w:szCs w:val="30"/>
          <w:highlight w:val="none"/>
        </w:rPr>
        <w:br w:type="page"/>
      </w: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Pr>
        <w:pStyle w:val="81"/>
        <w:spacing w:before="24" w:after="24"/>
        <w:jc w:val="center"/>
        <w:rPr>
          <w:rFonts w:eastAsia="仿宋_GB2312"/>
          <w:color w:val="auto"/>
          <w:szCs w:val="32"/>
          <w:highlight w:val="none"/>
        </w:rPr>
      </w:pPr>
      <w:bookmarkStart w:id="87" w:name="_Toc26417"/>
      <w:bookmarkStart w:id="88" w:name="_Toc23903"/>
      <w:bookmarkStart w:id="89" w:name="_Toc230013637"/>
      <w:bookmarkStart w:id="90" w:name="_Toc184114070"/>
      <w:bookmarkStart w:id="91" w:name="_Toc184025279"/>
      <w:bookmarkStart w:id="92" w:name="_Toc230099802"/>
      <w:r>
        <w:rPr>
          <w:rFonts w:eastAsia="仿宋_GB2312"/>
          <w:color w:val="auto"/>
          <w:szCs w:val="32"/>
          <w:highlight w:val="none"/>
        </w:rPr>
        <w:t>（二）供应商须知</w:t>
      </w:r>
      <w:bookmarkEnd w:id="87"/>
      <w:bookmarkEnd w:id="88"/>
    </w:p>
    <w:p>
      <w:pPr>
        <w:pStyle w:val="81"/>
        <w:spacing w:before="24" w:after="24"/>
        <w:jc w:val="center"/>
        <w:rPr>
          <w:rFonts w:eastAsia="仿宋_GB2312"/>
          <w:color w:val="auto"/>
          <w:sz w:val="30"/>
          <w:szCs w:val="30"/>
          <w:highlight w:val="none"/>
        </w:rPr>
      </w:pPr>
      <w:bookmarkStart w:id="93" w:name="_Toc12878"/>
      <w:bookmarkStart w:id="94" w:name="_Toc1580"/>
      <w:r>
        <w:rPr>
          <w:rFonts w:eastAsia="仿宋_GB2312"/>
          <w:color w:val="auto"/>
          <w:sz w:val="30"/>
          <w:szCs w:val="30"/>
          <w:highlight w:val="none"/>
        </w:rPr>
        <w:t>一、总  则</w:t>
      </w:r>
      <w:bookmarkEnd w:id="93"/>
      <w:bookmarkEnd w:id="94"/>
    </w:p>
    <w:p>
      <w:pPr>
        <w:rPr>
          <w:rFonts w:eastAsia="仿宋_GB2312"/>
          <w:color w:val="auto"/>
          <w:highlight w:val="none"/>
        </w:rPr>
      </w:pPr>
    </w:p>
    <w:p>
      <w:pPr>
        <w:pStyle w:val="6"/>
        <w:rPr>
          <w:rFonts w:ascii="Times New Roman" w:hAnsi="Times New Roman" w:eastAsia="仿宋_GB2312"/>
          <w:b/>
          <w:color w:val="auto"/>
          <w:sz w:val="24"/>
          <w:szCs w:val="21"/>
          <w:highlight w:val="none"/>
        </w:rPr>
      </w:pPr>
      <w:bookmarkStart w:id="95" w:name="_Hlt14560612"/>
      <w:bookmarkEnd w:id="95"/>
      <w:bookmarkStart w:id="96" w:name="_Toc249525161"/>
      <w:bookmarkStart w:id="97" w:name="_Toc184043014"/>
      <w:bookmarkStart w:id="98" w:name="_Toc25504"/>
      <w:bookmarkStart w:id="99" w:name="_Toc249515280"/>
      <w:bookmarkStart w:id="100" w:name="_Toc249515392"/>
      <w:r>
        <w:rPr>
          <w:rFonts w:ascii="Times New Roman" w:hAnsi="Times New Roman" w:eastAsia="仿宋_GB2312"/>
          <w:b/>
          <w:color w:val="auto"/>
          <w:sz w:val="24"/>
          <w:szCs w:val="21"/>
          <w:highlight w:val="none"/>
        </w:rPr>
        <w:t>1.     项目说明</w:t>
      </w:r>
      <w:bookmarkEnd w:id="96"/>
      <w:bookmarkEnd w:id="97"/>
      <w:bookmarkEnd w:id="98"/>
      <w:bookmarkEnd w:id="99"/>
      <w:bookmarkEnd w:id="100"/>
    </w:p>
    <w:p>
      <w:pPr>
        <w:pStyle w:val="67"/>
        <w:widowControl w:val="0"/>
        <w:tabs>
          <w:tab w:val="left" w:pos="588"/>
        </w:tabs>
        <w:spacing w:before="0" w:beforeAutospacing="0" w:after="0" w:afterAutospacing="0"/>
        <w:textAlignment w:val="auto"/>
        <w:rPr>
          <w:rFonts w:eastAsia="仿宋_GB2312"/>
          <w:color w:val="auto"/>
          <w:kern w:val="24"/>
          <w:szCs w:val="21"/>
          <w:highlight w:val="none"/>
        </w:rPr>
      </w:pPr>
      <w:r>
        <w:rPr>
          <w:rFonts w:eastAsia="仿宋_GB2312"/>
          <w:color w:val="auto"/>
          <w:kern w:val="24"/>
          <w:szCs w:val="21"/>
          <w:highlight w:val="none"/>
        </w:rPr>
        <w:t>1.1    项目说明：</w:t>
      </w:r>
      <w:r>
        <w:rPr>
          <w:rFonts w:eastAsia="仿宋_GB2312"/>
          <w:b/>
          <w:color w:val="auto"/>
          <w:kern w:val="24"/>
          <w:szCs w:val="21"/>
          <w:highlight w:val="none"/>
        </w:rPr>
        <w:t>见供应商须知前附表</w:t>
      </w:r>
      <w:r>
        <w:rPr>
          <w:rFonts w:eastAsia="仿宋_GB2312"/>
          <w:color w:val="auto"/>
          <w:kern w:val="24"/>
          <w:szCs w:val="21"/>
          <w:highlight w:val="none"/>
        </w:rPr>
        <w:t>。</w:t>
      </w:r>
    </w:p>
    <w:p>
      <w:pPr>
        <w:pStyle w:val="6"/>
        <w:rPr>
          <w:rFonts w:ascii="Times New Roman" w:hAnsi="Times New Roman" w:eastAsia="仿宋_GB2312"/>
          <w:b/>
          <w:color w:val="auto"/>
          <w:sz w:val="24"/>
          <w:szCs w:val="21"/>
          <w:highlight w:val="none"/>
        </w:rPr>
      </w:pPr>
      <w:bookmarkStart w:id="101" w:name="_Toc249515393"/>
      <w:bookmarkStart w:id="102" w:name="_Toc31509"/>
      <w:bookmarkStart w:id="103" w:name="_Toc249525162"/>
      <w:bookmarkStart w:id="104" w:name="_Toc184043015"/>
      <w:bookmarkStart w:id="105" w:name="_Toc70687142"/>
      <w:bookmarkStart w:id="106" w:name="_Toc249515281"/>
      <w:r>
        <w:rPr>
          <w:rFonts w:ascii="Times New Roman" w:hAnsi="Times New Roman" w:eastAsia="仿宋_GB2312"/>
          <w:b/>
          <w:color w:val="auto"/>
          <w:sz w:val="24"/>
          <w:szCs w:val="21"/>
          <w:highlight w:val="none"/>
        </w:rPr>
        <w:t>2.     定义</w:t>
      </w:r>
      <w:bookmarkEnd w:id="101"/>
      <w:bookmarkEnd w:id="102"/>
      <w:bookmarkEnd w:id="103"/>
      <w:bookmarkEnd w:id="104"/>
      <w:bookmarkEnd w:id="105"/>
      <w:bookmarkEnd w:id="106"/>
    </w:p>
    <w:p>
      <w:pPr>
        <w:tabs>
          <w:tab w:val="left" w:pos="588"/>
        </w:tabs>
        <w:spacing w:line="360" w:lineRule="auto"/>
        <w:rPr>
          <w:rFonts w:eastAsia="仿宋_GB2312"/>
          <w:color w:val="auto"/>
          <w:sz w:val="24"/>
          <w:highlight w:val="none"/>
        </w:rPr>
      </w:pPr>
      <w:r>
        <w:rPr>
          <w:rFonts w:eastAsia="仿宋_GB2312"/>
          <w:color w:val="auto"/>
          <w:sz w:val="24"/>
          <w:highlight w:val="none"/>
        </w:rPr>
        <w:t>2.1    采购人：</w:t>
      </w:r>
      <w:r>
        <w:rPr>
          <w:rFonts w:eastAsia="仿宋_GB2312"/>
          <w:b/>
          <w:color w:val="auto"/>
          <w:sz w:val="24"/>
          <w:highlight w:val="none"/>
        </w:rPr>
        <w:t>见供应商须知前附表</w:t>
      </w:r>
      <w:r>
        <w:rPr>
          <w:rFonts w:eastAsia="仿宋_GB2312"/>
          <w:color w:val="auto"/>
          <w:sz w:val="24"/>
          <w:highlight w:val="none"/>
        </w:rPr>
        <w:t>。</w:t>
      </w:r>
    </w:p>
    <w:p>
      <w:pPr>
        <w:pStyle w:val="25"/>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2.2    采购代理机构：</w:t>
      </w:r>
      <w:r>
        <w:rPr>
          <w:rFonts w:ascii="Times New Roman" w:hAnsi="Times New Roman" w:eastAsia="仿宋_GB2312"/>
          <w:b/>
          <w:color w:val="auto"/>
          <w:kern w:val="24"/>
          <w:sz w:val="24"/>
          <w:szCs w:val="21"/>
          <w:highlight w:val="none"/>
        </w:rPr>
        <w:t>见供应商须知前附表</w:t>
      </w:r>
      <w:r>
        <w:rPr>
          <w:rFonts w:ascii="Times New Roman" w:hAnsi="Times New Roman" w:eastAsia="仿宋_GB2312"/>
          <w:color w:val="auto"/>
          <w:kern w:val="24"/>
          <w:sz w:val="24"/>
          <w:szCs w:val="21"/>
          <w:highlight w:val="none"/>
        </w:rPr>
        <w:t>。</w:t>
      </w:r>
    </w:p>
    <w:p>
      <w:pPr>
        <w:pStyle w:val="25"/>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2.3    供应商：指响应磋商文件要求、参加竞争性磋商采购的法人、其他组织或者自然人。本次政府采购项目邀请供应商方式见</w:t>
      </w:r>
      <w:r>
        <w:rPr>
          <w:rFonts w:ascii="Times New Roman" w:hAnsi="Times New Roman" w:eastAsia="仿宋_GB2312"/>
          <w:b/>
          <w:color w:val="auto"/>
          <w:sz w:val="24"/>
          <w:highlight w:val="none"/>
        </w:rPr>
        <w:t>供应商须知前附表。</w:t>
      </w:r>
    </w:p>
    <w:p>
      <w:pPr>
        <w:pStyle w:val="25"/>
        <w:tabs>
          <w:tab w:val="left" w:pos="360"/>
        </w:tabs>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2.4    磋商小组：指依据《中华人民共和国政府采购法》和财政部《政府采购竞争性磋商采购方式管理暂行办法》有关规定组建，依法依规履行其职责和义务的机构。</w:t>
      </w:r>
    </w:p>
    <w:p>
      <w:pPr>
        <w:pStyle w:val="6"/>
        <w:rPr>
          <w:rFonts w:ascii="Times New Roman" w:hAnsi="Times New Roman" w:eastAsia="仿宋_GB2312"/>
          <w:b/>
          <w:color w:val="auto"/>
          <w:sz w:val="24"/>
          <w:szCs w:val="21"/>
          <w:highlight w:val="none"/>
        </w:rPr>
      </w:pPr>
      <w:bookmarkStart w:id="107" w:name="_Toc249515394"/>
      <w:bookmarkStart w:id="108" w:name="_Toc70687143"/>
      <w:bookmarkStart w:id="109" w:name="_Toc249515282"/>
      <w:bookmarkStart w:id="110" w:name="_Toc389620168"/>
      <w:bookmarkStart w:id="111" w:name="_Toc184043016"/>
      <w:bookmarkStart w:id="112" w:name="_Toc23705"/>
      <w:bookmarkStart w:id="113" w:name="_Toc385992329"/>
      <w:bookmarkStart w:id="114" w:name="_Toc249525163"/>
      <w:r>
        <w:rPr>
          <w:rFonts w:ascii="Times New Roman" w:hAnsi="Times New Roman" w:eastAsia="仿宋_GB2312"/>
          <w:b/>
          <w:color w:val="auto"/>
          <w:sz w:val="24"/>
          <w:szCs w:val="21"/>
          <w:highlight w:val="none"/>
        </w:rPr>
        <w:t>3.     合格的供应商</w:t>
      </w:r>
      <w:bookmarkEnd w:id="107"/>
      <w:bookmarkEnd w:id="108"/>
      <w:bookmarkEnd w:id="109"/>
      <w:bookmarkEnd w:id="110"/>
      <w:bookmarkEnd w:id="111"/>
      <w:bookmarkEnd w:id="112"/>
      <w:bookmarkEnd w:id="113"/>
      <w:bookmarkEnd w:id="114"/>
    </w:p>
    <w:p>
      <w:pPr>
        <w:tabs>
          <w:tab w:val="left" w:pos="588"/>
        </w:tabs>
        <w:spacing w:line="360" w:lineRule="auto"/>
        <w:rPr>
          <w:rFonts w:eastAsia="仿宋_GB2312"/>
          <w:color w:val="auto"/>
          <w:kern w:val="24"/>
          <w:sz w:val="24"/>
          <w:szCs w:val="21"/>
          <w:highlight w:val="none"/>
        </w:rPr>
      </w:pPr>
      <w:r>
        <w:rPr>
          <w:rFonts w:eastAsia="仿宋_GB2312"/>
          <w:color w:val="auto"/>
          <w:kern w:val="24"/>
          <w:sz w:val="24"/>
          <w:szCs w:val="21"/>
          <w:highlight w:val="none"/>
        </w:rPr>
        <w:t>3.1    供应商基本资质要求详见</w:t>
      </w:r>
      <w:r>
        <w:rPr>
          <w:rFonts w:eastAsia="仿宋_GB2312"/>
          <w:b/>
          <w:color w:val="auto"/>
          <w:kern w:val="24"/>
          <w:sz w:val="24"/>
          <w:szCs w:val="21"/>
          <w:highlight w:val="none"/>
        </w:rPr>
        <w:t>供应商须知前附表</w:t>
      </w:r>
      <w:r>
        <w:rPr>
          <w:rFonts w:eastAsia="仿宋_GB2312"/>
          <w:color w:val="auto"/>
          <w:kern w:val="24"/>
          <w:sz w:val="24"/>
          <w:szCs w:val="21"/>
          <w:highlight w:val="none"/>
        </w:rPr>
        <w:t>。</w:t>
      </w:r>
    </w:p>
    <w:p>
      <w:pPr>
        <w:tabs>
          <w:tab w:val="left" w:pos="588"/>
        </w:tabs>
        <w:spacing w:line="360" w:lineRule="auto"/>
        <w:rPr>
          <w:rFonts w:eastAsia="仿宋_GB2312"/>
          <w:color w:val="auto"/>
          <w:kern w:val="24"/>
          <w:sz w:val="24"/>
          <w:szCs w:val="21"/>
          <w:highlight w:val="none"/>
        </w:rPr>
      </w:pPr>
      <w:r>
        <w:rPr>
          <w:rFonts w:eastAsia="仿宋_GB2312"/>
          <w:color w:val="auto"/>
          <w:kern w:val="24"/>
          <w:sz w:val="24"/>
          <w:szCs w:val="21"/>
          <w:highlight w:val="none"/>
        </w:rPr>
        <w:t>3.2    本项目将执行在政府采购活动中查询及使用信用记录的规定，具体要求为：</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3.2.1  供应商应当未被列入失信被执行人、</w:t>
      </w:r>
      <w:r>
        <w:rPr>
          <w:rFonts w:hint="eastAsia" w:eastAsia="仿宋_GB2312"/>
          <w:color w:val="auto"/>
          <w:kern w:val="24"/>
          <w:sz w:val="24"/>
          <w:szCs w:val="21"/>
          <w:highlight w:val="none"/>
        </w:rPr>
        <w:t>重大</w:t>
      </w:r>
      <w:r>
        <w:rPr>
          <w:rFonts w:eastAsia="仿宋_GB2312"/>
          <w:color w:val="auto"/>
          <w:sz w:val="24"/>
          <w:highlight w:val="none"/>
        </w:rPr>
        <w:t>税收违法</w:t>
      </w:r>
      <w:r>
        <w:rPr>
          <w:rFonts w:hint="eastAsia" w:eastAsia="仿宋_GB2312"/>
          <w:color w:val="auto"/>
          <w:sz w:val="24"/>
          <w:highlight w:val="none"/>
        </w:rPr>
        <w:t>失信主体</w:t>
      </w:r>
      <w:r>
        <w:rPr>
          <w:rFonts w:eastAsia="仿宋_GB2312"/>
          <w:color w:val="auto"/>
          <w:kern w:val="24"/>
          <w:sz w:val="24"/>
          <w:szCs w:val="21"/>
          <w:highlight w:val="none"/>
        </w:rPr>
        <w:t>、政府采购严重违法失信行为记录名单，否则不得参与政府采购活动。</w:t>
      </w:r>
    </w:p>
    <w:p>
      <w:pPr>
        <w:tabs>
          <w:tab w:val="left" w:pos="588"/>
        </w:tabs>
        <w:spacing w:line="360" w:lineRule="auto"/>
        <w:rPr>
          <w:rFonts w:eastAsia="仿宋_GB2312"/>
          <w:color w:val="auto"/>
          <w:kern w:val="24"/>
          <w:sz w:val="24"/>
          <w:szCs w:val="21"/>
          <w:highlight w:val="none"/>
        </w:rPr>
      </w:pPr>
      <w:r>
        <w:rPr>
          <w:rFonts w:eastAsia="仿宋_GB2312"/>
          <w:color w:val="auto"/>
          <w:kern w:val="24"/>
          <w:sz w:val="24"/>
          <w:szCs w:val="21"/>
          <w:highlight w:val="none"/>
        </w:rPr>
        <w:t>3.2.2  信用信息查询的时间：</w:t>
      </w:r>
      <w:r>
        <w:rPr>
          <w:rFonts w:hint="eastAsia" w:eastAsia="仿宋_GB2312"/>
          <w:color w:val="auto"/>
          <w:kern w:val="24"/>
          <w:sz w:val="24"/>
          <w:szCs w:val="21"/>
          <w:highlight w:val="none"/>
        </w:rPr>
        <w:t>自采购文件发售之日起至资格审查结束之前。</w:t>
      </w:r>
      <w:r>
        <w:rPr>
          <w:rFonts w:eastAsia="仿宋_GB2312"/>
          <w:color w:val="auto"/>
          <w:kern w:val="24"/>
          <w:sz w:val="24"/>
          <w:szCs w:val="21"/>
          <w:highlight w:val="none"/>
        </w:rPr>
        <w:t xml:space="preserve"> </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 xml:space="preserve">3.2.3  查询渠道：“信用中国”网站（www.creditchina.gov.cn）和中国政府采购网（www.ccgp.gov.cn）； </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3.</w:t>
      </w:r>
      <w:r>
        <w:rPr>
          <w:rFonts w:hint="eastAsia" w:eastAsia="仿宋_GB2312"/>
          <w:color w:val="auto"/>
          <w:kern w:val="24"/>
          <w:sz w:val="24"/>
          <w:szCs w:val="21"/>
          <w:highlight w:val="none"/>
        </w:rPr>
        <w:t>2</w:t>
      </w:r>
      <w:r>
        <w:rPr>
          <w:rFonts w:eastAsia="仿宋_GB2312"/>
          <w:color w:val="auto"/>
          <w:kern w:val="24"/>
          <w:sz w:val="24"/>
          <w:szCs w:val="21"/>
          <w:highlight w:val="none"/>
        </w:rPr>
        <w:t>.5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3.</w:t>
      </w:r>
      <w:r>
        <w:rPr>
          <w:rFonts w:hint="eastAsia" w:eastAsia="仿宋_GB2312"/>
          <w:color w:val="auto"/>
          <w:kern w:val="24"/>
          <w:sz w:val="24"/>
          <w:szCs w:val="21"/>
          <w:highlight w:val="none"/>
        </w:rPr>
        <w:t>3</w:t>
      </w:r>
      <w:r>
        <w:rPr>
          <w:rFonts w:eastAsia="仿宋_GB2312"/>
          <w:color w:val="auto"/>
          <w:kern w:val="24"/>
          <w:sz w:val="24"/>
          <w:szCs w:val="21"/>
          <w:highlight w:val="none"/>
        </w:rPr>
        <w:t xml:space="preserve">    供应商必须向采购人或采购代理机构</w:t>
      </w:r>
      <w:r>
        <w:rPr>
          <w:rFonts w:hint="eastAsia" w:eastAsia="仿宋_GB2312"/>
          <w:color w:val="auto"/>
          <w:kern w:val="24"/>
          <w:sz w:val="24"/>
          <w:szCs w:val="21"/>
          <w:highlight w:val="none"/>
        </w:rPr>
        <w:t>获取</w:t>
      </w:r>
      <w:r>
        <w:rPr>
          <w:rFonts w:eastAsia="仿宋_GB2312"/>
          <w:color w:val="auto"/>
          <w:kern w:val="24"/>
          <w:sz w:val="24"/>
          <w:szCs w:val="21"/>
          <w:highlight w:val="none"/>
        </w:rPr>
        <w:t>磋商文件，未向采购人或采购代理机构</w:t>
      </w:r>
      <w:r>
        <w:rPr>
          <w:rFonts w:hint="eastAsia" w:eastAsia="仿宋_GB2312"/>
          <w:color w:val="auto"/>
          <w:kern w:val="24"/>
          <w:sz w:val="24"/>
          <w:szCs w:val="21"/>
          <w:highlight w:val="none"/>
        </w:rPr>
        <w:t>获取</w:t>
      </w:r>
      <w:r>
        <w:rPr>
          <w:rFonts w:eastAsia="仿宋_GB2312"/>
          <w:color w:val="auto"/>
          <w:kern w:val="24"/>
          <w:sz w:val="24"/>
          <w:szCs w:val="21"/>
          <w:highlight w:val="none"/>
        </w:rPr>
        <w:t>磋商文件的潜在供应商均无资格参加本次采购。</w:t>
      </w:r>
    </w:p>
    <w:p>
      <w:pPr>
        <w:tabs>
          <w:tab w:val="left" w:pos="588"/>
        </w:tabs>
        <w:spacing w:line="360" w:lineRule="auto"/>
        <w:rPr>
          <w:rFonts w:eastAsia="仿宋_GB2312"/>
          <w:color w:val="auto"/>
          <w:kern w:val="24"/>
          <w:sz w:val="24"/>
          <w:szCs w:val="21"/>
          <w:highlight w:val="none"/>
        </w:rPr>
      </w:pPr>
      <w:r>
        <w:rPr>
          <w:rFonts w:eastAsia="仿宋_GB2312"/>
          <w:color w:val="auto"/>
          <w:kern w:val="24"/>
          <w:sz w:val="24"/>
          <w:szCs w:val="21"/>
          <w:highlight w:val="none"/>
        </w:rPr>
        <w:t>3.</w:t>
      </w:r>
      <w:r>
        <w:rPr>
          <w:rFonts w:hint="eastAsia" w:eastAsia="仿宋_GB2312"/>
          <w:color w:val="auto"/>
          <w:kern w:val="24"/>
          <w:sz w:val="24"/>
          <w:szCs w:val="21"/>
          <w:highlight w:val="none"/>
        </w:rPr>
        <w:t>4</w:t>
      </w:r>
      <w:r>
        <w:rPr>
          <w:rFonts w:eastAsia="仿宋_GB2312"/>
          <w:color w:val="auto"/>
          <w:kern w:val="24"/>
          <w:sz w:val="24"/>
          <w:szCs w:val="21"/>
          <w:highlight w:val="none"/>
        </w:rPr>
        <w:t xml:space="preserve">    供应商应遵守《中华人民共和国政府采购法》及其它有关的中国法律和法规。</w:t>
      </w:r>
    </w:p>
    <w:p>
      <w:pPr>
        <w:pStyle w:val="25"/>
        <w:ind w:left="840" w:hanging="840" w:hangingChars="350"/>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5</w:t>
      </w:r>
      <w:r>
        <w:rPr>
          <w:rFonts w:ascii="Times New Roman" w:hAnsi="Times New Roman" w:eastAsia="仿宋_GB2312"/>
          <w:color w:val="auto"/>
          <w:kern w:val="24"/>
          <w:sz w:val="24"/>
          <w:szCs w:val="21"/>
          <w:highlight w:val="none"/>
        </w:rPr>
        <w:t xml:space="preserve">    若前附表中写明允许采购进口产品，供应商应保证所投产品可履行合法报通关手续进入中国关境内。</w:t>
      </w:r>
    </w:p>
    <w:p>
      <w:pPr>
        <w:pStyle w:val="25"/>
        <w:ind w:left="838" w:leftChars="399"/>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若前附表中不允许采购进口产品，如供应商所投产品为进口产品，其响应文件将被认定为无效。</w:t>
      </w:r>
    </w:p>
    <w:p>
      <w:pPr>
        <w:pStyle w:val="25"/>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 xml:space="preserve">    如须知前附表中允许联合体投标，对联合体规定如下：</w:t>
      </w:r>
    </w:p>
    <w:p>
      <w:pPr>
        <w:pStyle w:val="25"/>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.1  两个及以上供应商可以组成一个投标联合体，以一个供应商的身份投标。</w:t>
      </w:r>
    </w:p>
    <w:p>
      <w:pPr>
        <w:pStyle w:val="25"/>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.2  联合体各方均应符合本须知规定。</w:t>
      </w:r>
    </w:p>
    <w:p>
      <w:pPr>
        <w:pStyle w:val="25"/>
        <w:ind w:left="840" w:hanging="840" w:hangingChars="350"/>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.3  采购人根据采购项目对供应商的特殊要求，联合体中至少应当有一方符合相关规定。</w:t>
      </w:r>
    </w:p>
    <w:p>
      <w:pPr>
        <w:pStyle w:val="25"/>
        <w:ind w:left="840" w:hanging="840" w:hangingChars="350"/>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.4  联合体各方应签订共同磋商响应协议，明确约定联合体各方承担的工作和相应的责任，并将共同响应协议作为响应文件的内容提交。</w:t>
      </w:r>
    </w:p>
    <w:p>
      <w:pPr>
        <w:pStyle w:val="25"/>
        <w:ind w:left="840" w:hanging="840" w:hangingChars="350"/>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.5  大中型企业、其他自然人、法人或者其他组织与小型、微型企业组成联合体共同参加磋商，共同响应协议中应写明小型、微型企业的协议合同金额占到共同响应协议报价总金额的比例。</w:t>
      </w:r>
    </w:p>
    <w:p>
      <w:pPr>
        <w:pStyle w:val="25"/>
        <w:ind w:left="840" w:hanging="840" w:hangingChars="350"/>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.6  以联合体形式参加政府采购活动的，联合体各方不得再单独参加或者与其他供应商另外组成联合体参加本项目同一合同项下的磋商，否则相关响应文件将被认定为无效。</w:t>
      </w:r>
    </w:p>
    <w:p>
      <w:pPr>
        <w:pStyle w:val="25"/>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.7  对联合体磋商的其他资格要求见须知前附表。</w:t>
      </w:r>
    </w:p>
    <w:p>
      <w:pPr>
        <w:pStyle w:val="25"/>
        <w:ind w:left="840" w:hanging="840" w:hangingChars="350"/>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7</w:t>
      </w:r>
      <w:r>
        <w:rPr>
          <w:rFonts w:ascii="Times New Roman" w:hAnsi="Times New Roman" w:eastAsia="仿宋_GB2312"/>
          <w:color w:val="auto"/>
          <w:kern w:val="24"/>
          <w:sz w:val="24"/>
          <w:szCs w:val="21"/>
          <w:highlight w:val="none"/>
        </w:rPr>
        <w:t xml:space="preserve">    </w:t>
      </w:r>
      <w:r>
        <w:rPr>
          <w:rFonts w:ascii="Times New Roman" w:hAnsi="Times New Roman" w:eastAsia="仿宋_GB2312"/>
          <w:color w:val="auto"/>
          <w:sz w:val="24"/>
          <w:highlight w:val="none"/>
        </w:rPr>
        <w:t>若前附表中写明专门面向中小企业采购的，如供应商为非中小企业或所投产品为非中小企业产品，其响应文件将被认定为无效。</w:t>
      </w:r>
    </w:p>
    <w:p>
      <w:pPr>
        <w:pStyle w:val="6"/>
        <w:rPr>
          <w:rFonts w:ascii="Times New Roman" w:hAnsi="Times New Roman" w:eastAsia="仿宋_GB2312"/>
          <w:b/>
          <w:color w:val="auto"/>
          <w:sz w:val="24"/>
          <w:szCs w:val="21"/>
          <w:highlight w:val="none"/>
        </w:rPr>
      </w:pPr>
      <w:bookmarkStart w:id="115" w:name="_Toc385992330"/>
      <w:bookmarkStart w:id="116" w:name="_Toc70687144"/>
      <w:bookmarkStart w:id="117" w:name="_Toc249515395"/>
      <w:bookmarkStart w:id="118" w:name="_Toc249525164"/>
      <w:bookmarkStart w:id="119" w:name="_Toc184043017"/>
      <w:bookmarkStart w:id="120" w:name="_Toc26580"/>
      <w:bookmarkStart w:id="121" w:name="_Toc389620169"/>
      <w:bookmarkStart w:id="122" w:name="_Toc249515283"/>
      <w:r>
        <w:rPr>
          <w:rFonts w:ascii="Times New Roman" w:hAnsi="Times New Roman" w:eastAsia="仿宋_GB2312"/>
          <w:b/>
          <w:color w:val="auto"/>
          <w:sz w:val="24"/>
          <w:szCs w:val="21"/>
          <w:highlight w:val="none"/>
        </w:rPr>
        <w:t>4.     磋商费用</w:t>
      </w:r>
      <w:bookmarkEnd w:id="115"/>
      <w:bookmarkEnd w:id="116"/>
      <w:bookmarkEnd w:id="117"/>
      <w:bookmarkEnd w:id="118"/>
      <w:bookmarkEnd w:id="119"/>
      <w:bookmarkEnd w:id="120"/>
      <w:bookmarkEnd w:id="121"/>
      <w:bookmarkEnd w:id="122"/>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4.1    供应商应承担所有与编写和提交响应文件有关的费用，无论磋商过程和结果如何，采购人在任何情况下均无义务和责任承担这些费用。</w:t>
      </w:r>
    </w:p>
    <w:p>
      <w:pPr>
        <w:pStyle w:val="25"/>
        <w:rPr>
          <w:rFonts w:ascii="Times New Roman" w:hAnsi="Times New Roman" w:eastAsia="仿宋_GB2312"/>
          <w:color w:val="auto"/>
          <w:highlight w:val="none"/>
        </w:rPr>
      </w:pPr>
    </w:p>
    <w:p>
      <w:pPr>
        <w:pStyle w:val="81"/>
        <w:spacing w:before="24" w:after="24"/>
        <w:ind w:left="3313"/>
        <w:rPr>
          <w:rFonts w:eastAsia="仿宋_GB2312"/>
          <w:color w:val="auto"/>
          <w:sz w:val="30"/>
          <w:szCs w:val="30"/>
          <w:highlight w:val="none"/>
        </w:rPr>
      </w:pPr>
      <w:bookmarkStart w:id="123" w:name="_Toc21865"/>
      <w:bookmarkStart w:id="124" w:name="_Toc11464"/>
      <w:r>
        <w:rPr>
          <w:rFonts w:eastAsia="仿宋_GB2312"/>
          <w:color w:val="auto"/>
          <w:sz w:val="30"/>
          <w:szCs w:val="30"/>
          <w:highlight w:val="none"/>
        </w:rPr>
        <w:t>二、磋商文件说明</w:t>
      </w:r>
      <w:bookmarkEnd w:id="123"/>
      <w:bookmarkEnd w:id="124"/>
    </w:p>
    <w:p>
      <w:pPr>
        <w:rPr>
          <w:rFonts w:eastAsia="仿宋_GB2312"/>
          <w:color w:val="auto"/>
          <w:highlight w:val="none"/>
        </w:rPr>
      </w:pPr>
    </w:p>
    <w:p>
      <w:pPr>
        <w:pStyle w:val="6"/>
        <w:numPr>
          <w:ilvl w:val="0"/>
          <w:numId w:val="5"/>
        </w:numPr>
        <w:rPr>
          <w:rFonts w:ascii="Times New Roman" w:hAnsi="Times New Roman" w:eastAsia="仿宋_GB2312"/>
          <w:b/>
          <w:color w:val="auto"/>
          <w:sz w:val="24"/>
          <w:szCs w:val="21"/>
          <w:highlight w:val="none"/>
        </w:rPr>
      </w:pPr>
      <w:bookmarkStart w:id="125" w:name="_Toc128"/>
      <w:bookmarkStart w:id="126" w:name="_Toc385992332"/>
      <w:bookmarkStart w:id="127" w:name="_Toc184043019"/>
      <w:bookmarkStart w:id="128" w:name="_Toc389620171"/>
      <w:bookmarkStart w:id="129" w:name="_Toc249515285"/>
      <w:bookmarkStart w:id="130" w:name="_Toc249515397"/>
      <w:bookmarkStart w:id="131" w:name="_Toc70687146"/>
      <w:bookmarkStart w:id="132" w:name="_Toc249525166"/>
      <w:r>
        <w:rPr>
          <w:rFonts w:ascii="Times New Roman" w:hAnsi="Times New Roman" w:eastAsia="仿宋_GB2312"/>
          <w:b/>
          <w:color w:val="auto"/>
          <w:sz w:val="24"/>
          <w:szCs w:val="21"/>
          <w:highlight w:val="none"/>
        </w:rPr>
        <w:t xml:space="preserve">    通知</w:t>
      </w:r>
      <w:bookmarkEnd w:id="125"/>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5.1    对与本项目有关的通知，采购人或采购代理机构将以书面（包括书面材料、信函、传真、电子邮件等，下同）的形式，送达所有与通知有关的已</w:t>
      </w:r>
      <w:r>
        <w:rPr>
          <w:rFonts w:hint="eastAsia" w:eastAsia="仿宋_GB2312"/>
          <w:color w:val="auto"/>
          <w:kern w:val="24"/>
          <w:sz w:val="24"/>
          <w:szCs w:val="21"/>
          <w:highlight w:val="none"/>
        </w:rPr>
        <w:t>获取</w:t>
      </w:r>
      <w:r>
        <w:rPr>
          <w:rFonts w:eastAsia="仿宋_GB2312"/>
          <w:color w:val="auto"/>
          <w:kern w:val="24"/>
          <w:sz w:val="24"/>
          <w:szCs w:val="21"/>
          <w:highlight w:val="none"/>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6"/>
        <w:rPr>
          <w:rFonts w:ascii="Times New Roman" w:hAnsi="Times New Roman" w:eastAsia="仿宋_GB2312"/>
          <w:b/>
          <w:color w:val="auto"/>
          <w:sz w:val="24"/>
          <w:szCs w:val="21"/>
          <w:highlight w:val="none"/>
        </w:rPr>
      </w:pPr>
      <w:bookmarkStart w:id="133" w:name="_Toc27223"/>
      <w:r>
        <w:rPr>
          <w:rFonts w:ascii="Times New Roman" w:hAnsi="Times New Roman" w:eastAsia="仿宋_GB2312"/>
          <w:b/>
          <w:color w:val="auto"/>
          <w:sz w:val="24"/>
          <w:szCs w:val="21"/>
          <w:highlight w:val="none"/>
        </w:rPr>
        <w:t>6.     磋商文件的构成</w:t>
      </w:r>
      <w:bookmarkEnd w:id="126"/>
      <w:bookmarkEnd w:id="127"/>
      <w:bookmarkEnd w:id="128"/>
      <w:bookmarkEnd w:id="129"/>
      <w:bookmarkEnd w:id="130"/>
      <w:bookmarkEnd w:id="131"/>
      <w:bookmarkEnd w:id="132"/>
      <w:bookmarkEnd w:id="133"/>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6.1    磋商文件用以阐明供应商所需提供的服务、工程或货物以及其它类似的义务、采购响应程序和合同条款。磋商文件包括如下五章内容：</w:t>
      </w:r>
    </w:p>
    <w:p>
      <w:pPr>
        <w:pStyle w:val="25"/>
        <w:ind w:left="838" w:leftChars="399"/>
        <w:rPr>
          <w:rFonts w:ascii="Times New Roman" w:hAnsi="Times New Roman" w:eastAsia="仿宋_GB2312"/>
          <w:color w:val="auto"/>
          <w:sz w:val="24"/>
          <w:highlight w:val="none"/>
        </w:rPr>
      </w:pPr>
      <w:r>
        <w:rPr>
          <w:rFonts w:ascii="Times New Roman" w:hAnsi="Times New Roman" w:eastAsia="仿宋_GB2312"/>
          <w:color w:val="auto"/>
          <w:sz w:val="24"/>
          <w:highlight w:val="none"/>
        </w:rPr>
        <w:t>第一章</w:t>
      </w:r>
      <w:r>
        <w:rPr>
          <w:rFonts w:ascii="Times New Roman" w:hAnsi="Times New Roman" w:eastAsia="仿宋_GB2312"/>
          <w:color w:val="auto"/>
          <w:sz w:val="24"/>
          <w:highlight w:val="none"/>
        </w:rPr>
        <w:tab/>
      </w:r>
      <w:r>
        <w:rPr>
          <w:rFonts w:ascii="Times New Roman" w:hAnsi="Times New Roman" w:eastAsia="仿宋_GB2312"/>
          <w:color w:val="auto"/>
          <w:sz w:val="24"/>
          <w:highlight w:val="none"/>
        </w:rPr>
        <w:t>磋商公告</w:t>
      </w:r>
    </w:p>
    <w:p>
      <w:pPr>
        <w:pStyle w:val="25"/>
        <w:ind w:left="838" w:leftChars="399"/>
        <w:rPr>
          <w:rFonts w:ascii="Times New Roman" w:hAnsi="Times New Roman" w:eastAsia="仿宋_GB2312"/>
          <w:color w:val="auto"/>
          <w:sz w:val="24"/>
          <w:highlight w:val="none"/>
        </w:rPr>
      </w:pPr>
      <w:r>
        <w:rPr>
          <w:rFonts w:ascii="Times New Roman" w:hAnsi="Times New Roman" w:eastAsia="仿宋_GB2312"/>
          <w:color w:val="auto"/>
          <w:sz w:val="24"/>
          <w:highlight w:val="none"/>
        </w:rPr>
        <w:t>第二章</w:t>
      </w:r>
      <w:r>
        <w:rPr>
          <w:rFonts w:ascii="Times New Roman" w:hAnsi="Times New Roman" w:eastAsia="仿宋_GB2312"/>
          <w:color w:val="auto"/>
          <w:sz w:val="24"/>
          <w:highlight w:val="none"/>
        </w:rPr>
        <w:tab/>
      </w:r>
      <w:r>
        <w:rPr>
          <w:rFonts w:ascii="Times New Roman" w:hAnsi="Times New Roman" w:eastAsia="仿宋_GB2312"/>
          <w:color w:val="auto"/>
          <w:sz w:val="24"/>
          <w:highlight w:val="none"/>
        </w:rPr>
        <w:t>供应商须知</w:t>
      </w:r>
    </w:p>
    <w:p>
      <w:pPr>
        <w:pStyle w:val="25"/>
        <w:ind w:left="838" w:leftChars="399"/>
        <w:rPr>
          <w:rFonts w:ascii="Times New Roman" w:hAnsi="Times New Roman" w:eastAsia="仿宋_GB2312"/>
          <w:color w:val="auto"/>
          <w:sz w:val="24"/>
          <w:highlight w:val="none"/>
        </w:rPr>
      </w:pPr>
      <w:r>
        <w:rPr>
          <w:rFonts w:ascii="Times New Roman" w:hAnsi="Times New Roman" w:eastAsia="仿宋_GB2312"/>
          <w:color w:val="auto"/>
          <w:sz w:val="24"/>
          <w:highlight w:val="none"/>
        </w:rPr>
        <w:t>第三章</w:t>
      </w:r>
      <w:r>
        <w:rPr>
          <w:rFonts w:ascii="Times New Roman" w:hAnsi="Times New Roman" w:eastAsia="仿宋_GB2312"/>
          <w:color w:val="auto"/>
          <w:sz w:val="24"/>
          <w:highlight w:val="none"/>
        </w:rPr>
        <w:tab/>
      </w:r>
      <w:r>
        <w:rPr>
          <w:rFonts w:ascii="Times New Roman" w:hAnsi="Times New Roman" w:eastAsia="仿宋_GB2312"/>
          <w:color w:val="auto"/>
          <w:sz w:val="24"/>
          <w:highlight w:val="none"/>
        </w:rPr>
        <w:t>评审办法和标准</w:t>
      </w:r>
    </w:p>
    <w:p>
      <w:pPr>
        <w:pStyle w:val="25"/>
        <w:ind w:left="838" w:leftChars="399"/>
        <w:rPr>
          <w:rFonts w:ascii="Times New Roman" w:hAnsi="Times New Roman" w:eastAsia="仿宋_GB2312"/>
          <w:color w:val="auto"/>
          <w:sz w:val="24"/>
          <w:highlight w:val="none"/>
        </w:rPr>
      </w:pPr>
      <w:r>
        <w:rPr>
          <w:rFonts w:ascii="Times New Roman" w:hAnsi="Times New Roman" w:eastAsia="仿宋_GB2312"/>
          <w:color w:val="auto"/>
          <w:sz w:val="24"/>
          <w:highlight w:val="none"/>
        </w:rPr>
        <w:t>第四章</w:t>
      </w:r>
      <w:r>
        <w:rPr>
          <w:rFonts w:ascii="Times New Roman" w:hAnsi="Times New Roman" w:eastAsia="仿宋_GB2312"/>
          <w:color w:val="auto"/>
          <w:sz w:val="24"/>
          <w:highlight w:val="none"/>
        </w:rPr>
        <w:tab/>
      </w:r>
      <w:r>
        <w:rPr>
          <w:rFonts w:hint="eastAsia" w:ascii="Times New Roman" w:hAnsi="Times New Roman" w:eastAsia="仿宋_GB2312"/>
          <w:color w:val="auto"/>
          <w:sz w:val="24"/>
          <w:highlight w:val="none"/>
        </w:rPr>
        <w:t>拟签订的合同文本</w:t>
      </w:r>
    </w:p>
    <w:p>
      <w:pPr>
        <w:pStyle w:val="25"/>
        <w:ind w:left="838" w:leftChars="399"/>
        <w:rPr>
          <w:rFonts w:ascii="Times New Roman" w:hAnsi="Times New Roman" w:eastAsia="仿宋_GB2312"/>
          <w:color w:val="auto"/>
          <w:sz w:val="24"/>
          <w:highlight w:val="none"/>
        </w:rPr>
      </w:pPr>
      <w:r>
        <w:rPr>
          <w:rFonts w:ascii="Times New Roman" w:hAnsi="Times New Roman" w:eastAsia="仿宋_GB2312"/>
          <w:color w:val="auto"/>
          <w:sz w:val="24"/>
          <w:highlight w:val="none"/>
        </w:rPr>
        <w:t>第五章</w:t>
      </w:r>
      <w:r>
        <w:rPr>
          <w:rFonts w:ascii="Times New Roman" w:hAnsi="Times New Roman" w:eastAsia="仿宋_GB2312"/>
          <w:color w:val="auto"/>
          <w:sz w:val="24"/>
          <w:highlight w:val="none"/>
        </w:rPr>
        <w:tab/>
      </w:r>
      <w:r>
        <w:rPr>
          <w:rFonts w:ascii="Times New Roman" w:hAnsi="Times New Roman" w:eastAsia="仿宋_GB2312"/>
          <w:color w:val="auto"/>
          <w:sz w:val="24"/>
          <w:highlight w:val="none"/>
        </w:rPr>
        <w:t>采购内容及要求</w:t>
      </w:r>
    </w:p>
    <w:p>
      <w:pPr>
        <w:pStyle w:val="25"/>
        <w:ind w:left="838" w:leftChars="399"/>
        <w:rPr>
          <w:rFonts w:ascii="Times New Roman" w:hAnsi="Times New Roman" w:eastAsia="仿宋_GB2312"/>
          <w:color w:val="auto"/>
          <w:sz w:val="24"/>
          <w:highlight w:val="none"/>
        </w:rPr>
      </w:pPr>
      <w:r>
        <w:rPr>
          <w:rFonts w:ascii="Times New Roman" w:hAnsi="Times New Roman" w:eastAsia="仿宋_GB2312"/>
          <w:color w:val="auto"/>
          <w:sz w:val="24"/>
          <w:highlight w:val="none"/>
        </w:rPr>
        <w:t>第六章</w:t>
      </w:r>
      <w:r>
        <w:rPr>
          <w:rFonts w:ascii="Times New Roman" w:hAnsi="Times New Roman" w:eastAsia="仿宋_GB2312"/>
          <w:color w:val="auto"/>
          <w:sz w:val="24"/>
          <w:highlight w:val="none"/>
        </w:rPr>
        <w:tab/>
      </w:r>
      <w:r>
        <w:rPr>
          <w:rFonts w:ascii="Times New Roman" w:hAnsi="Times New Roman" w:eastAsia="仿宋_GB2312"/>
          <w:color w:val="auto"/>
          <w:sz w:val="24"/>
          <w:highlight w:val="none"/>
        </w:rPr>
        <w:t>磋商响应文件格式</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6"/>
        <w:rPr>
          <w:rFonts w:ascii="Times New Roman" w:hAnsi="Times New Roman" w:eastAsia="仿宋_GB2312"/>
          <w:b/>
          <w:color w:val="auto"/>
          <w:sz w:val="24"/>
          <w:szCs w:val="21"/>
          <w:highlight w:val="none"/>
        </w:rPr>
      </w:pPr>
      <w:bookmarkStart w:id="134" w:name="_Toc385992333"/>
      <w:bookmarkStart w:id="135" w:name="_Toc249515286"/>
      <w:bookmarkStart w:id="136" w:name="_Toc184043020"/>
      <w:bookmarkStart w:id="137" w:name="_Toc70687147"/>
      <w:bookmarkStart w:id="138" w:name="_Toc249515398"/>
      <w:bookmarkStart w:id="139" w:name="_Toc389620172"/>
      <w:bookmarkStart w:id="140" w:name="_Toc249525167"/>
      <w:bookmarkStart w:id="141" w:name="_Toc10350"/>
      <w:r>
        <w:rPr>
          <w:rFonts w:ascii="Times New Roman" w:hAnsi="Times New Roman" w:eastAsia="仿宋_GB2312"/>
          <w:b/>
          <w:color w:val="auto"/>
          <w:sz w:val="24"/>
          <w:szCs w:val="21"/>
          <w:highlight w:val="none"/>
        </w:rPr>
        <w:t>7.     磋商文件的澄清</w:t>
      </w:r>
      <w:bookmarkEnd w:id="134"/>
      <w:bookmarkEnd w:id="135"/>
      <w:bookmarkEnd w:id="136"/>
      <w:bookmarkEnd w:id="137"/>
      <w:bookmarkEnd w:id="138"/>
      <w:bookmarkEnd w:id="139"/>
      <w:bookmarkEnd w:id="140"/>
      <w:r>
        <w:rPr>
          <w:rFonts w:ascii="Times New Roman" w:hAnsi="Times New Roman" w:eastAsia="仿宋_GB2312"/>
          <w:b/>
          <w:color w:val="auto"/>
          <w:sz w:val="24"/>
          <w:szCs w:val="21"/>
          <w:highlight w:val="none"/>
        </w:rPr>
        <w:t>和修改</w:t>
      </w:r>
      <w:bookmarkEnd w:id="141"/>
    </w:p>
    <w:p>
      <w:pPr>
        <w:tabs>
          <w:tab w:val="left" w:pos="588"/>
        </w:tabs>
        <w:spacing w:line="360" w:lineRule="auto"/>
        <w:ind w:left="840" w:hanging="840" w:hangingChars="350"/>
        <w:rPr>
          <w:rFonts w:eastAsia="仿宋_GB2312"/>
          <w:color w:val="auto"/>
          <w:sz w:val="24"/>
          <w:highlight w:val="none"/>
        </w:rPr>
      </w:pPr>
      <w:bookmarkStart w:id="142" w:name="_Toc385992334"/>
      <w:bookmarkStart w:id="143" w:name="_Toc70687148"/>
      <w:bookmarkStart w:id="144" w:name="_Toc389620173"/>
      <w:r>
        <w:rPr>
          <w:rFonts w:eastAsia="仿宋_GB2312"/>
          <w:color w:val="auto"/>
          <w:sz w:val="24"/>
          <w:highlight w:val="none"/>
        </w:rPr>
        <w:t xml:space="preserve">7.1    </w:t>
      </w:r>
      <w:bookmarkEnd w:id="142"/>
      <w:bookmarkEnd w:id="143"/>
      <w:bookmarkEnd w:id="144"/>
      <w:bookmarkStart w:id="145" w:name="_Toc499711887"/>
      <w:bookmarkStart w:id="146" w:name="_Toc385992335"/>
      <w:bookmarkStart w:id="147" w:name="_Toc500746969"/>
      <w:bookmarkStart w:id="148" w:name="_Toc492955418"/>
      <w:bookmarkStart w:id="149" w:name="_Toc500747192"/>
      <w:bookmarkStart w:id="150" w:name="_Toc500747065"/>
      <w:bookmarkStart w:id="151" w:name="_Toc389620174"/>
      <w:bookmarkStart w:id="152" w:name="_Toc503063425"/>
      <w:bookmarkStart w:id="153" w:name="_Toc499711046"/>
      <w:bookmarkStart w:id="154" w:name="_Toc70687149"/>
      <w:bookmarkStart w:id="155" w:name="_Toc496324582"/>
      <w:bookmarkStart w:id="156" w:name="_Toc53722843"/>
      <w:r>
        <w:rPr>
          <w:rFonts w:eastAsia="仿宋_GB2312"/>
          <w:color w:val="auto"/>
          <w:sz w:val="24"/>
          <w:highlight w:val="none"/>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7.2    磋商文件的修改将以书面形式通知所有</w:t>
      </w:r>
      <w:r>
        <w:rPr>
          <w:rFonts w:hint="eastAsia" w:eastAsia="仿宋_GB2312"/>
          <w:color w:val="auto"/>
          <w:sz w:val="24"/>
          <w:highlight w:val="none"/>
        </w:rPr>
        <w:t>获取</w:t>
      </w:r>
      <w:r>
        <w:rPr>
          <w:rFonts w:eastAsia="仿宋_GB2312"/>
          <w:color w:val="auto"/>
          <w:sz w:val="24"/>
          <w:highlight w:val="none"/>
        </w:rPr>
        <w:t>磋商文件的供应商，并对其具有约束力。供应商在收到上述通知后，应立即向采购人回函确认。</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7.3    澄清或修改的内容可能影响响应文件编制的，采购人或采购代理机构可适当延长首次响应文件递交截止时间，并以书面形式通知所有</w:t>
      </w:r>
      <w:r>
        <w:rPr>
          <w:rFonts w:hint="eastAsia" w:eastAsia="仿宋_GB2312"/>
          <w:color w:val="auto"/>
          <w:sz w:val="24"/>
          <w:highlight w:val="none"/>
        </w:rPr>
        <w:t>获取</w:t>
      </w:r>
      <w:r>
        <w:rPr>
          <w:rFonts w:eastAsia="仿宋_GB2312"/>
          <w:color w:val="auto"/>
          <w:sz w:val="24"/>
          <w:highlight w:val="none"/>
        </w:rPr>
        <w:t>磋商文件的供应商。</w:t>
      </w:r>
    </w:p>
    <w:p>
      <w:pPr>
        <w:pStyle w:val="25"/>
        <w:rPr>
          <w:color w:val="auto"/>
          <w:highlight w:val="none"/>
        </w:rPr>
      </w:pPr>
    </w:p>
    <w:p>
      <w:pPr>
        <w:pStyle w:val="81"/>
        <w:spacing w:before="24" w:after="24"/>
        <w:ind w:left="3313"/>
        <w:rPr>
          <w:rFonts w:eastAsia="仿宋_GB2312"/>
          <w:color w:val="auto"/>
          <w:sz w:val="30"/>
          <w:szCs w:val="30"/>
          <w:highlight w:val="none"/>
        </w:rPr>
      </w:pPr>
      <w:bookmarkStart w:id="157" w:name="_Toc176882545"/>
      <w:bookmarkStart w:id="158" w:name="_Toc230099800"/>
      <w:bookmarkStart w:id="159" w:name="_Toc249515288"/>
      <w:bookmarkStart w:id="160" w:name="_Toc232395215"/>
      <w:bookmarkStart w:id="161" w:name="_Toc230013635"/>
      <w:bookmarkStart w:id="162" w:name="_Toc177995476"/>
      <w:bookmarkStart w:id="163" w:name="_Toc177817337"/>
      <w:bookmarkStart w:id="164" w:name="_Toc249525169"/>
      <w:bookmarkStart w:id="165" w:name="_Toc177189238"/>
      <w:bookmarkStart w:id="166" w:name="_Toc249515400"/>
      <w:bookmarkStart w:id="167" w:name="_Toc184043022"/>
      <w:bookmarkStart w:id="168" w:name="_Toc256342146"/>
      <w:bookmarkStart w:id="169" w:name="_Toc21401"/>
      <w:bookmarkStart w:id="170" w:name="_Toc230583544"/>
      <w:bookmarkStart w:id="171" w:name="_Toc232176275"/>
      <w:bookmarkStart w:id="172" w:name="_Toc30000"/>
      <w:r>
        <w:rPr>
          <w:rFonts w:eastAsia="仿宋_GB2312"/>
          <w:color w:val="auto"/>
          <w:sz w:val="30"/>
          <w:szCs w:val="30"/>
          <w:highlight w:val="none"/>
        </w:rPr>
        <w:t>三、响应文件的编写</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6"/>
        <w:rPr>
          <w:rFonts w:ascii="Times New Roman" w:hAnsi="Times New Roman" w:eastAsia="仿宋_GB2312"/>
          <w:b/>
          <w:color w:val="auto"/>
          <w:sz w:val="24"/>
          <w:szCs w:val="21"/>
          <w:highlight w:val="none"/>
        </w:rPr>
      </w:pPr>
      <w:bookmarkStart w:id="173" w:name="_Toc249525170"/>
      <w:bookmarkStart w:id="174" w:name="_Toc249515401"/>
      <w:bookmarkStart w:id="175" w:name="_Toc30150"/>
      <w:bookmarkStart w:id="176" w:name="_Toc184043023"/>
      <w:bookmarkStart w:id="177" w:name="_Toc249515289"/>
      <w:bookmarkStart w:id="178" w:name="_Toc70687150"/>
      <w:bookmarkStart w:id="179" w:name="_Toc389620176"/>
      <w:bookmarkStart w:id="180" w:name="_Toc385992337"/>
      <w:r>
        <w:rPr>
          <w:rFonts w:ascii="Times New Roman" w:hAnsi="Times New Roman" w:eastAsia="仿宋_GB2312"/>
          <w:b/>
          <w:color w:val="auto"/>
          <w:sz w:val="24"/>
          <w:szCs w:val="21"/>
          <w:highlight w:val="none"/>
        </w:rPr>
        <w:t>8.     响应文件语言</w:t>
      </w:r>
      <w:bookmarkEnd w:id="173"/>
      <w:bookmarkEnd w:id="174"/>
      <w:bookmarkEnd w:id="175"/>
      <w:bookmarkEnd w:id="176"/>
      <w:bookmarkEnd w:id="177"/>
      <w:bookmarkEnd w:id="178"/>
    </w:p>
    <w:p>
      <w:pPr>
        <w:tabs>
          <w:tab w:val="left" w:pos="588"/>
        </w:tabs>
        <w:spacing w:line="360" w:lineRule="auto"/>
        <w:rPr>
          <w:rFonts w:eastAsia="仿宋_GB2312"/>
          <w:color w:val="auto"/>
          <w:sz w:val="24"/>
          <w:highlight w:val="none"/>
        </w:rPr>
      </w:pPr>
      <w:r>
        <w:rPr>
          <w:rFonts w:eastAsia="仿宋_GB2312"/>
          <w:color w:val="auto"/>
          <w:sz w:val="24"/>
          <w:highlight w:val="none"/>
        </w:rPr>
        <w:t>8.1    响应文件及与响应相关的所有文件均应以中文书写。</w:t>
      </w:r>
    </w:p>
    <w:p>
      <w:pPr>
        <w:pStyle w:val="6"/>
        <w:rPr>
          <w:rFonts w:ascii="Times New Roman" w:hAnsi="Times New Roman" w:eastAsia="仿宋_GB2312"/>
          <w:b/>
          <w:color w:val="auto"/>
          <w:sz w:val="24"/>
          <w:szCs w:val="21"/>
          <w:highlight w:val="none"/>
        </w:rPr>
      </w:pPr>
      <w:bookmarkStart w:id="181" w:name="_Toc18327"/>
      <w:bookmarkStart w:id="182" w:name="_Toc249515402"/>
      <w:bookmarkStart w:id="183" w:name="_Toc184043024"/>
      <w:bookmarkStart w:id="184" w:name="_Toc70687151"/>
      <w:bookmarkStart w:id="185" w:name="_Toc249525171"/>
      <w:bookmarkStart w:id="186" w:name="_Toc249515290"/>
      <w:r>
        <w:rPr>
          <w:rFonts w:ascii="Times New Roman" w:hAnsi="Times New Roman" w:eastAsia="仿宋_GB2312"/>
          <w:b/>
          <w:color w:val="auto"/>
          <w:sz w:val="24"/>
          <w:szCs w:val="21"/>
          <w:highlight w:val="none"/>
        </w:rPr>
        <w:t>9.     计量单位</w:t>
      </w:r>
      <w:bookmarkEnd w:id="179"/>
      <w:bookmarkEnd w:id="180"/>
      <w:bookmarkEnd w:id="181"/>
      <w:bookmarkEnd w:id="182"/>
      <w:bookmarkEnd w:id="183"/>
      <w:bookmarkEnd w:id="184"/>
      <w:bookmarkEnd w:id="185"/>
      <w:bookmarkEnd w:id="186"/>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9.1    除在磋商文件的技术规格中另有规定外，计量单位应使用中华人民共和国法定计量单位。</w:t>
      </w:r>
    </w:p>
    <w:p>
      <w:pPr>
        <w:pStyle w:val="6"/>
        <w:rPr>
          <w:rFonts w:ascii="Times New Roman" w:hAnsi="Times New Roman" w:eastAsia="仿宋_GB2312"/>
          <w:b/>
          <w:color w:val="auto"/>
          <w:sz w:val="24"/>
          <w:szCs w:val="21"/>
          <w:highlight w:val="none"/>
        </w:rPr>
      </w:pPr>
      <w:bookmarkStart w:id="187" w:name="_Toc385992338"/>
      <w:bookmarkStart w:id="188" w:name="_Toc249515291"/>
      <w:bookmarkStart w:id="189" w:name="_Toc249515403"/>
      <w:bookmarkStart w:id="190" w:name="_Toc249525172"/>
      <w:bookmarkStart w:id="191" w:name="_Toc29318"/>
      <w:bookmarkStart w:id="192" w:name="_Toc389620177"/>
      <w:bookmarkStart w:id="193" w:name="_Toc184043025"/>
      <w:bookmarkStart w:id="194" w:name="_Toc70687152"/>
      <w:r>
        <w:rPr>
          <w:rFonts w:ascii="Times New Roman" w:hAnsi="Times New Roman" w:eastAsia="仿宋_GB2312"/>
          <w:b/>
          <w:color w:val="auto"/>
          <w:sz w:val="24"/>
          <w:szCs w:val="21"/>
          <w:highlight w:val="none"/>
        </w:rPr>
        <w:t>10.    响应文件的组成</w:t>
      </w:r>
      <w:bookmarkEnd w:id="187"/>
      <w:bookmarkEnd w:id="188"/>
      <w:bookmarkEnd w:id="189"/>
      <w:bookmarkEnd w:id="190"/>
      <w:bookmarkEnd w:id="191"/>
      <w:bookmarkEnd w:id="192"/>
      <w:bookmarkEnd w:id="193"/>
      <w:bookmarkEnd w:id="194"/>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10.1   供应商编写的响应文件</w:t>
      </w:r>
      <w:r>
        <w:rPr>
          <w:rFonts w:eastAsia="仿宋_GB2312"/>
          <w:b/>
          <w:color w:val="auto"/>
          <w:sz w:val="24"/>
          <w:highlight w:val="none"/>
        </w:rPr>
        <w:t>由《资格证明文件》、《商务及技术文件》两部分</w:t>
      </w:r>
      <w:r>
        <w:rPr>
          <w:rFonts w:eastAsia="仿宋_GB2312"/>
          <w:color w:val="auto"/>
          <w:sz w:val="24"/>
          <w:highlight w:val="none"/>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eastAsia="仿宋_GB2312"/>
          <w:color w:val="auto"/>
          <w:sz w:val="24"/>
          <w:highlight w:val="none"/>
        </w:rPr>
      </w:pPr>
      <w:r>
        <w:rPr>
          <w:rFonts w:eastAsia="仿宋_GB2312"/>
          <w:color w:val="auto"/>
          <w:sz w:val="24"/>
          <w:highlight w:val="none"/>
        </w:rPr>
        <w:t>10.2   供应商提供的以上材料必须真实有效，任何一项的虚假将导致其响应被拒绝。</w:t>
      </w:r>
    </w:p>
    <w:p>
      <w:pPr>
        <w:pStyle w:val="6"/>
        <w:rPr>
          <w:rFonts w:ascii="Times New Roman" w:hAnsi="Times New Roman" w:eastAsia="仿宋_GB2312"/>
          <w:b/>
          <w:color w:val="auto"/>
          <w:sz w:val="24"/>
          <w:szCs w:val="21"/>
          <w:highlight w:val="none"/>
        </w:rPr>
      </w:pPr>
      <w:bookmarkStart w:id="195" w:name="_Toc249515292"/>
      <w:bookmarkStart w:id="196" w:name="_Toc184043026"/>
      <w:bookmarkStart w:id="197" w:name="_Toc389620178"/>
      <w:bookmarkStart w:id="198" w:name="_Toc249525173"/>
      <w:bookmarkStart w:id="199" w:name="_Toc70687153"/>
      <w:bookmarkStart w:id="200" w:name="_Toc249515404"/>
      <w:bookmarkStart w:id="201" w:name="_Toc26312"/>
      <w:bookmarkStart w:id="202" w:name="_Toc385992339"/>
      <w:r>
        <w:rPr>
          <w:rFonts w:ascii="Times New Roman" w:hAnsi="Times New Roman" w:eastAsia="仿宋_GB2312"/>
          <w:b/>
          <w:color w:val="auto"/>
          <w:sz w:val="24"/>
          <w:highlight w:val="none"/>
        </w:rPr>
        <w:t>11.    响应文件格式</w:t>
      </w:r>
      <w:bookmarkEnd w:id="195"/>
      <w:bookmarkEnd w:id="196"/>
      <w:bookmarkEnd w:id="197"/>
      <w:bookmarkEnd w:id="198"/>
      <w:bookmarkEnd w:id="199"/>
      <w:bookmarkEnd w:id="200"/>
      <w:bookmarkEnd w:id="201"/>
      <w:bookmarkEnd w:id="202"/>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11.1   对于磋商文件第六章中已经提供了格式的响应文件内容，供应商必须按提供的响应文件格式进行填写和编制，没有提供格式的可自行设计。</w:t>
      </w:r>
    </w:p>
    <w:p>
      <w:pPr>
        <w:pStyle w:val="6"/>
        <w:rPr>
          <w:rFonts w:ascii="Times New Roman" w:hAnsi="Times New Roman" w:eastAsia="仿宋_GB2312"/>
          <w:b/>
          <w:color w:val="auto"/>
          <w:sz w:val="24"/>
          <w:szCs w:val="21"/>
          <w:highlight w:val="none"/>
        </w:rPr>
      </w:pPr>
      <w:bookmarkStart w:id="203" w:name="_Toc26688"/>
      <w:r>
        <w:rPr>
          <w:rFonts w:ascii="Times New Roman" w:hAnsi="Times New Roman" w:eastAsia="仿宋_GB2312"/>
          <w:b/>
          <w:color w:val="auto"/>
          <w:sz w:val="24"/>
          <w:szCs w:val="21"/>
          <w:highlight w:val="none"/>
        </w:rPr>
        <w:t>12.    响应报价</w:t>
      </w:r>
      <w:bookmarkEnd w:id="203"/>
    </w:p>
    <w:p>
      <w:pPr>
        <w:tabs>
          <w:tab w:val="left" w:pos="0"/>
          <w:tab w:val="left" w:pos="540"/>
          <w:tab w:val="left" w:pos="720"/>
        </w:tabs>
        <w:spacing w:line="360" w:lineRule="auto"/>
        <w:ind w:left="840" w:hanging="840" w:hangingChars="350"/>
        <w:rPr>
          <w:rFonts w:eastAsia="仿宋_GB2312"/>
          <w:color w:val="auto"/>
          <w:highlight w:val="none"/>
        </w:rPr>
      </w:pPr>
      <w:r>
        <w:rPr>
          <w:rFonts w:eastAsia="仿宋_GB2312"/>
          <w:color w:val="auto"/>
          <w:kern w:val="24"/>
          <w:sz w:val="24"/>
          <w:szCs w:val="21"/>
          <w:highlight w:val="none"/>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eastAsia="仿宋_GB2312"/>
          <w:b/>
          <w:color w:val="auto"/>
          <w:kern w:val="24"/>
          <w:sz w:val="24"/>
          <w:szCs w:val="21"/>
          <w:highlight w:val="none"/>
        </w:rPr>
        <w:t>供应商须知前附表。</w:t>
      </w:r>
    </w:p>
    <w:p>
      <w:pPr>
        <w:tabs>
          <w:tab w:val="left" w:pos="540"/>
          <w:tab w:val="left" w:pos="840"/>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12.2   供应商应在响应分项报价表中详细列出所报货物和</w:t>
      </w:r>
      <w:r>
        <w:rPr>
          <w:rFonts w:eastAsia="仿宋_GB2312"/>
          <w:color w:val="auto"/>
          <w:sz w:val="24"/>
          <w:highlight w:val="none"/>
        </w:rPr>
        <w:t>服务</w:t>
      </w:r>
      <w:r>
        <w:rPr>
          <w:rFonts w:eastAsia="仿宋_GB2312"/>
          <w:color w:val="auto"/>
          <w:kern w:val="24"/>
          <w:sz w:val="24"/>
          <w:szCs w:val="21"/>
          <w:highlight w:val="none"/>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12.5   供应商每次对每种</w:t>
      </w:r>
      <w:r>
        <w:rPr>
          <w:rFonts w:eastAsia="仿宋_GB2312"/>
          <w:color w:val="auto"/>
          <w:kern w:val="24"/>
          <w:sz w:val="24"/>
          <w:szCs w:val="21"/>
          <w:highlight w:val="none"/>
          <w:u w:val="single"/>
        </w:rPr>
        <w:t xml:space="preserve"> 服务（或工程、或产品）</w:t>
      </w:r>
      <w:r>
        <w:rPr>
          <w:rFonts w:eastAsia="仿宋_GB2312"/>
          <w:color w:val="auto"/>
          <w:kern w:val="24"/>
          <w:sz w:val="24"/>
          <w:szCs w:val="21"/>
          <w:highlight w:val="none"/>
        </w:rPr>
        <w:t>只允许有一个报价，采购人不接受有任何选择的报价。</w:t>
      </w:r>
    </w:p>
    <w:p>
      <w:pPr>
        <w:tabs>
          <w:tab w:val="left" w:pos="180"/>
          <w:tab w:val="left" w:pos="540"/>
        </w:tabs>
        <w:spacing w:line="360" w:lineRule="auto"/>
        <w:ind w:left="840" w:hanging="840" w:hangingChars="350"/>
        <w:rPr>
          <w:rFonts w:eastAsia="仿宋_GB2312"/>
          <w:color w:val="auto"/>
          <w:kern w:val="24"/>
          <w:sz w:val="24"/>
          <w:szCs w:val="21"/>
          <w:highlight w:val="none"/>
        </w:rPr>
      </w:pPr>
      <w:r>
        <w:rPr>
          <w:rFonts w:eastAsia="仿宋_GB2312"/>
          <w:color w:val="auto"/>
          <w:sz w:val="24"/>
          <w:highlight w:val="none"/>
        </w:rPr>
        <w:t>12.6   供应商根据本须知12.2条规定将响应报价分成几部分并按</w:t>
      </w:r>
      <w:r>
        <w:rPr>
          <w:rFonts w:eastAsia="仿宋_GB2312"/>
          <w:color w:val="auto"/>
          <w:kern w:val="24"/>
          <w:sz w:val="24"/>
          <w:szCs w:val="21"/>
          <w:highlight w:val="none"/>
        </w:rPr>
        <w:t>磋商文件第六章提供的格式填写“响应分项报价表”，只是为了方便采购人对响应文件进行比较，并不限制采购人以其它方式签订合同的权力。</w:t>
      </w:r>
    </w:p>
    <w:p>
      <w:pPr>
        <w:pStyle w:val="6"/>
        <w:rPr>
          <w:rFonts w:ascii="Times New Roman" w:hAnsi="Times New Roman" w:eastAsia="仿宋_GB2312"/>
          <w:b/>
          <w:color w:val="auto"/>
          <w:sz w:val="24"/>
          <w:szCs w:val="21"/>
          <w:highlight w:val="none"/>
        </w:rPr>
      </w:pPr>
      <w:bookmarkStart w:id="204" w:name="_Toc70687155"/>
      <w:bookmarkStart w:id="205" w:name="_Toc249525175"/>
      <w:bookmarkStart w:id="206" w:name="_Toc385992341"/>
      <w:bookmarkStart w:id="207" w:name="_Toc20687"/>
      <w:bookmarkStart w:id="208" w:name="_Toc389620180"/>
      <w:bookmarkStart w:id="209" w:name="_Toc184043028"/>
      <w:bookmarkStart w:id="210" w:name="_Toc249515294"/>
      <w:bookmarkStart w:id="211" w:name="_Toc249515406"/>
      <w:r>
        <w:rPr>
          <w:rFonts w:ascii="Times New Roman" w:hAnsi="Times New Roman" w:eastAsia="仿宋_GB2312"/>
          <w:b/>
          <w:color w:val="auto"/>
          <w:sz w:val="24"/>
          <w:szCs w:val="21"/>
          <w:highlight w:val="none"/>
        </w:rPr>
        <w:t>13.    报价货币</w:t>
      </w:r>
      <w:bookmarkEnd w:id="204"/>
      <w:bookmarkEnd w:id="205"/>
      <w:bookmarkEnd w:id="206"/>
      <w:bookmarkEnd w:id="207"/>
      <w:bookmarkEnd w:id="208"/>
      <w:bookmarkEnd w:id="209"/>
      <w:bookmarkEnd w:id="210"/>
      <w:bookmarkEnd w:id="211"/>
    </w:p>
    <w:p>
      <w:pPr>
        <w:tabs>
          <w:tab w:val="left" w:pos="180"/>
          <w:tab w:val="left" w:pos="540"/>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12.3   磋商响应函、响应报价一览表、响应分项报价表、最后报价表等所有报价一律用人民币填报。采购人不接受任何非人民币币种的报价。</w:t>
      </w:r>
      <w:bookmarkStart w:id="212" w:name="_Toc385992342"/>
      <w:bookmarkStart w:id="213" w:name="_Toc389620181"/>
    </w:p>
    <w:bookmarkEnd w:id="212"/>
    <w:bookmarkEnd w:id="213"/>
    <w:p>
      <w:pPr>
        <w:pStyle w:val="6"/>
        <w:rPr>
          <w:rFonts w:ascii="Times New Roman" w:hAnsi="Times New Roman" w:eastAsia="仿宋_GB2312"/>
          <w:b/>
          <w:color w:val="auto"/>
          <w:kern w:val="24"/>
          <w:sz w:val="24"/>
          <w:szCs w:val="21"/>
          <w:highlight w:val="none"/>
        </w:rPr>
      </w:pPr>
      <w:bookmarkStart w:id="214" w:name="止观"/>
      <w:bookmarkEnd w:id="214"/>
      <w:r>
        <w:rPr>
          <w:rFonts w:ascii="Times New Roman" w:hAnsi="Times New Roman" w:eastAsia="仿宋_GB2312"/>
          <w:b/>
          <w:color w:val="auto"/>
          <w:sz w:val="24"/>
          <w:szCs w:val="21"/>
          <w:highlight w:val="none"/>
        </w:rPr>
        <w:t>14.    磋商保证金</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sz w:val="24"/>
          <w:szCs w:val="21"/>
          <w:highlight w:val="none"/>
        </w:rPr>
        <w:t>14.1   本项目须在磋商前向采购代理机构提供</w:t>
      </w:r>
      <w:r>
        <w:rPr>
          <w:rFonts w:eastAsia="仿宋_GB2312"/>
          <w:b/>
          <w:color w:val="auto"/>
          <w:sz w:val="24"/>
          <w:szCs w:val="21"/>
          <w:highlight w:val="none"/>
        </w:rPr>
        <w:t>供应商须知前附表</w:t>
      </w:r>
      <w:r>
        <w:rPr>
          <w:rFonts w:eastAsia="仿宋_GB2312"/>
          <w:color w:val="auto"/>
          <w:sz w:val="24"/>
          <w:szCs w:val="21"/>
          <w:highlight w:val="none"/>
        </w:rPr>
        <w:t>规定金额的保证金，并作为其响应文件的一部分。</w:t>
      </w:r>
    </w:p>
    <w:p>
      <w:pPr>
        <w:tabs>
          <w:tab w:val="left" w:pos="588"/>
        </w:tabs>
        <w:spacing w:line="360" w:lineRule="auto"/>
        <w:rPr>
          <w:rFonts w:eastAsia="仿宋_GB2312"/>
          <w:color w:val="auto"/>
          <w:kern w:val="24"/>
          <w:sz w:val="24"/>
          <w:szCs w:val="21"/>
          <w:highlight w:val="none"/>
        </w:rPr>
      </w:pPr>
      <w:r>
        <w:rPr>
          <w:rFonts w:eastAsia="仿宋_GB2312"/>
          <w:color w:val="auto"/>
          <w:kern w:val="24"/>
          <w:sz w:val="24"/>
          <w:szCs w:val="21"/>
          <w:highlight w:val="none"/>
        </w:rPr>
        <w:t>14.2   保证金的货币为人民币，并采用下列任何一种非现金形式向采购代理机构递交：</w:t>
      </w:r>
    </w:p>
    <w:p>
      <w:pPr>
        <w:numPr>
          <w:ilvl w:val="0"/>
          <w:numId w:val="6"/>
        </w:numPr>
        <w:tabs>
          <w:tab w:val="left" w:pos="588"/>
        </w:tabs>
        <w:spacing w:line="360" w:lineRule="auto"/>
        <w:ind w:hanging="5"/>
        <w:rPr>
          <w:rFonts w:eastAsia="仿宋_GB2312"/>
          <w:color w:val="auto"/>
          <w:kern w:val="24"/>
          <w:sz w:val="24"/>
          <w:szCs w:val="21"/>
          <w:highlight w:val="none"/>
        </w:rPr>
      </w:pPr>
      <w:r>
        <w:rPr>
          <w:rFonts w:eastAsia="仿宋_GB2312"/>
          <w:color w:val="auto"/>
          <w:kern w:val="24"/>
          <w:sz w:val="24"/>
          <w:szCs w:val="21"/>
          <w:highlight w:val="none"/>
        </w:rPr>
        <w:t>电汇；</w:t>
      </w:r>
    </w:p>
    <w:p>
      <w:pPr>
        <w:numPr>
          <w:ilvl w:val="0"/>
          <w:numId w:val="6"/>
        </w:numPr>
        <w:tabs>
          <w:tab w:val="left" w:pos="588"/>
        </w:tabs>
        <w:spacing w:line="360" w:lineRule="auto"/>
        <w:ind w:hanging="5"/>
        <w:rPr>
          <w:rFonts w:eastAsia="仿宋_GB2312"/>
          <w:color w:val="auto"/>
          <w:kern w:val="24"/>
          <w:sz w:val="24"/>
          <w:szCs w:val="21"/>
          <w:highlight w:val="none"/>
        </w:rPr>
      </w:pPr>
      <w:r>
        <w:rPr>
          <w:rFonts w:eastAsia="仿宋_GB2312"/>
          <w:color w:val="auto"/>
          <w:kern w:val="24"/>
          <w:sz w:val="24"/>
          <w:szCs w:val="21"/>
          <w:highlight w:val="none"/>
        </w:rPr>
        <w:t>银行转账；</w:t>
      </w:r>
    </w:p>
    <w:p>
      <w:pPr>
        <w:numPr>
          <w:ilvl w:val="0"/>
          <w:numId w:val="6"/>
        </w:numPr>
        <w:tabs>
          <w:tab w:val="left" w:pos="588"/>
        </w:tabs>
        <w:spacing w:line="360" w:lineRule="auto"/>
        <w:ind w:hanging="5"/>
        <w:rPr>
          <w:rFonts w:eastAsia="仿宋_GB2312"/>
          <w:color w:val="auto"/>
          <w:kern w:val="24"/>
          <w:sz w:val="24"/>
          <w:szCs w:val="21"/>
          <w:highlight w:val="none"/>
        </w:rPr>
      </w:pPr>
      <w:r>
        <w:rPr>
          <w:rFonts w:eastAsia="仿宋_GB2312"/>
          <w:color w:val="auto"/>
          <w:kern w:val="24"/>
          <w:sz w:val="24"/>
          <w:szCs w:val="21"/>
          <w:highlight w:val="none"/>
        </w:rPr>
        <w:t>支票、汇票、本票、金融机构或担保机构出具的保函等非现金形式。</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14.4   凡没有根据本须知第14.1条的规定随附保证金的响应文件，将被视为非响应性予以拒绝。</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14.5   未成交供应商的保证金</w:t>
      </w:r>
      <w:r>
        <w:rPr>
          <w:rFonts w:hint="eastAsia" w:eastAsia="仿宋_GB2312"/>
          <w:color w:val="auto"/>
          <w:kern w:val="24"/>
          <w:sz w:val="24"/>
          <w:szCs w:val="21"/>
          <w:highlight w:val="none"/>
        </w:rPr>
        <w:t>，</w:t>
      </w:r>
      <w:r>
        <w:rPr>
          <w:rFonts w:eastAsia="仿宋_GB2312"/>
          <w:color w:val="auto"/>
          <w:kern w:val="24"/>
          <w:sz w:val="24"/>
          <w:szCs w:val="21"/>
          <w:highlight w:val="none"/>
        </w:rPr>
        <w:t xml:space="preserve"> 采购代理机构将在成交通知书发出后5个工作日内退还。</w:t>
      </w:r>
    </w:p>
    <w:p>
      <w:pPr>
        <w:tabs>
          <w:tab w:val="left" w:pos="588"/>
        </w:tabs>
        <w:spacing w:line="360" w:lineRule="auto"/>
        <w:rPr>
          <w:rFonts w:eastAsia="仿宋_GB2312"/>
          <w:color w:val="auto"/>
          <w:kern w:val="24"/>
          <w:sz w:val="24"/>
          <w:szCs w:val="21"/>
          <w:highlight w:val="none"/>
        </w:rPr>
      </w:pPr>
      <w:r>
        <w:rPr>
          <w:rFonts w:eastAsia="仿宋_GB2312"/>
          <w:color w:val="auto"/>
          <w:kern w:val="24"/>
          <w:sz w:val="24"/>
          <w:szCs w:val="21"/>
          <w:highlight w:val="none"/>
        </w:rPr>
        <w:t>14.6   成交供应商的保证金在按本须知第26条规定签订合同后5个工作日退还。</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eastAsia="仿宋_GB2312"/>
          <w:color w:val="auto"/>
          <w:kern w:val="24"/>
          <w:sz w:val="24"/>
          <w:szCs w:val="21"/>
          <w:highlight w:val="none"/>
        </w:rPr>
      </w:pPr>
      <w:r>
        <w:rPr>
          <w:rFonts w:eastAsia="仿宋_GB2312"/>
          <w:color w:val="auto"/>
          <w:kern w:val="24"/>
          <w:sz w:val="24"/>
          <w:szCs w:val="21"/>
          <w:highlight w:val="none"/>
        </w:rPr>
        <w:t>供应商在提交响应文件截止时间后撤销响应文件的；</w:t>
      </w:r>
    </w:p>
    <w:p>
      <w:pPr>
        <w:numPr>
          <w:ilvl w:val="0"/>
          <w:numId w:val="7"/>
        </w:numPr>
        <w:tabs>
          <w:tab w:val="left" w:pos="588"/>
        </w:tabs>
        <w:spacing w:line="360" w:lineRule="auto"/>
        <w:ind w:hanging="5"/>
        <w:rPr>
          <w:rFonts w:eastAsia="仿宋_GB2312"/>
          <w:color w:val="auto"/>
          <w:kern w:val="24"/>
          <w:sz w:val="24"/>
          <w:szCs w:val="21"/>
          <w:highlight w:val="none"/>
        </w:rPr>
      </w:pPr>
      <w:r>
        <w:rPr>
          <w:rFonts w:eastAsia="仿宋_GB2312"/>
          <w:color w:val="auto"/>
          <w:kern w:val="24"/>
          <w:sz w:val="24"/>
          <w:szCs w:val="21"/>
          <w:highlight w:val="none"/>
        </w:rPr>
        <w:t>供应商在响应文件中提供虚假材料的；</w:t>
      </w:r>
    </w:p>
    <w:p>
      <w:pPr>
        <w:numPr>
          <w:ilvl w:val="0"/>
          <w:numId w:val="7"/>
        </w:numPr>
        <w:tabs>
          <w:tab w:val="left" w:pos="588"/>
        </w:tabs>
        <w:spacing w:line="360" w:lineRule="auto"/>
        <w:ind w:hanging="5"/>
        <w:rPr>
          <w:rFonts w:eastAsia="仿宋_GB2312"/>
          <w:color w:val="auto"/>
          <w:kern w:val="24"/>
          <w:sz w:val="24"/>
          <w:szCs w:val="21"/>
          <w:highlight w:val="none"/>
        </w:rPr>
      </w:pPr>
      <w:r>
        <w:rPr>
          <w:rFonts w:eastAsia="仿宋_GB2312"/>
          <w:color w:val="auto"/>
          <w:kern w:val="24"/>
          <w:sz w:val="24"/>
          <w:szCs w:val="21"/>
          <w:highlight w:val="none"/>
        </w:rPr>
        <w:t xml:space="preserve">除因不可抗力外，成交供应商在规定期限内未能根据本须知第26条规定签订合同； </w:t>
      </w:r>
    </w:p>
    <w:p>
      <w:pPr>
        <w:numPr>
          <w:ilvl w:val="0"/>
          <w:numId w:val="7"/>
        </w:numPr>
        <w:tabs>
          <w:tab w:val="left" w:pos="588"/>
        </w:tabs>
        <w:spacing w:line="360" w:lineRule="auto"/>
        <w:ind w:hanging="5"/>
        <w:rPr>
          <w:rFonts w:eastAsia="仿宋_GB2312"/>
          <w:color w:val="auto"/>
          <w:kern w:val="24"/>
          <w:sz w:val="24"/>
          <w:szCs w:val="21"/>
          <w:highlight w:val="none"/>
        </w:rPr>
      </w:pPr>
      <w:r>
        <w:rPr>
          <w:rFonts w:eastAsia="仿宋_GB2312"/>
          <w:color w:val="auto"/>
          <w:kern w:val="24"/>
          <w:sz w:val="24"/>
          <w:szCs w:val="21"/>
          <w:highlight w:val="none"/>
        </w:rPr>
        <w:t>供应商与采购人、其他供应商或者采购代理机构恶意串通的；</w:t>
      </w:r>
    </w:p>
    <w:p>
      <w:pPr>
        <w:numPr>
          <w:ilvl w:val="0"/>
          <w:numId w:val="7"/>
        </w:numPr>
        <w:tabs>
          <w:tab w:val="left" w:pos="588"/>
        </w:tabs>
        <w:spacing w:line="360" w:lineRule="auto"/>
        <w:ind w:hanging="5"/>
        <w:rPr>
          <w:rFonts w:eastAsia="仿宋_GB2312"/>
          <w:color w:val="auto"/>
          <w:kern w:val="24"/>
          <w:sz w:val="24"/>
          <w:szCs w:val="21"/>
          <w:highlight w:val="none"/>
        </w:rPr>
      </w:pPr>
      <w:r>
        <w:rPr>
          <w:rFonts w:eastAsia="仿宋_GB2312"/>
          <w:color w:val="auto"/>
          <w:kern w:val="24"/>
          <w:sz w:val="24"/>
          <w:szCs w:val="21"/>
          <w:highlight w:val="none"/>
        </w:rPr>
        <w:t>成交供应商未按本须知第29条规定缴纳服务费。</w:t>
      </w:r>
    </w:p>
    <w:p>
      <w:pPr>
        <w:pStyle w:val="6"/>
        <w:rPr>
          <w:rFonts w:ascii="Times New Roman" w:hAnsi="Times New Roman" w:eastAsia="仿宋_GB2312"/>
          <w:b/>
          <w:color w:val="auto"/>
          <w:sz w:val="24"/>
          <w:szCs w:val="21"/>
          <w:highlight w:val="none"/>
        </w:rPr>
      </w:pPr>
      <w:bookmarkStart w:id="215" w:name="_Toc249525177"/>
      <w:bookmarkStart w:id="216" w:name="_Toc249515408"/>
      <w:bookmarkStart w:id="217" w:name="_Toc249515296"/>
      <w:bookmarkStart w:id="218" w:name="_Toc7949"/>
      <w:r>
        <w:rPr>
          <w:rFonts w:ascii="Times New Roman" w:hAnsi="Times New Roman" w:eastAsia="仿宋_GB2312"/>
          <w:b/>
          <w:color w:val="auto"/>
          <w:sz w:val="24"/>
          <w:szCs w:val="21"/>
          <w:highlight w:val="none"/>
        </w:rPr>
        <w:t>15.    磋商有效期</w:t>
      </w:r>
      <w:bookmarkEnd w:id="215"/>
      <w:bookmarkEnd w:id="216"/>
      <w:bookmarkEnd w:id="217"/>
      <w:bookmarkEnd w:id="218"/>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15.1   磋商有效期见</w:t>
      </w:r>
      <w:r>
        <w:rPr>
          <w:rFonts w:eastAsia="仿宋_GB2312"/>
          <w:b/>
          <w:color w:val="auto"/>
          <w:sz w:val="24"/>
          <w:highlight w:val="none"/>
        </w:rPr>
        <w:t>本须知前附表</w:t>
      </w:r>
      <w:r>
        <w:rPr>
          <w:rFonts w:eastAsia="仿宋_GB2312"/>
          <w:color w:val="auto"/>
          <w:sz w:val="24"/>
          <w:highlight w:val="none"/>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15.2   特殊情况下，采购人可于原磋商有效期满之前要求供应商同意延长有效期，要求与答复均应为书面形式。供应商可以拒绝上述要求，其磋商保证金不被没收。对于同意该要求的供应商，既不要求也不允许其修改响应文件，但将要求其相应延长磋商保证金的有效期，有关退还和保证金不予退还的规定在磋商有效期的延长期内继续有效。</w:t>
      </w:r>
    </w:p>
    <w:p>
      <w:pPr>
        <w:pStyle w:val="6"/>
        <w:rPr>
          <w:rFonts w:ascii="Times New Roman" w:hAnsi="Times New Roman" w:eastAsia="仿宋_GB2312"/>
          <w:b/>
          <w:color w:val="auto"/>
          <w:sz w:val="24"/>
          <w:szCs w:val="21"/>
          <w:highlight w:val="none"/>
        </w:rPr>
      </w:pPr>
      <w:bookmarkStart w:id="219" w:name="_Toc249515409"/>
      <w:bookmarkStart w:id="220" w:name="_Toc389620185"/>
      <w:bookmarkStart w:id="221" w:name="_Toc385992346"/>
      <w:bookmarkStart w:id="222" w:name="_Toc249515297"/>
      <w:bookmarkStart w:id="223" w:name="_Toc184043033"/>
      <w:bookmarkStart w:id="224" w:name="_Toc70687160"/>
      <w:bookmarkStart w:id="225" w:name="_Toc16612"/>
      <w:bookmarkStart w:id="226" w:name="_Toc249525178"/>
      <w:r>
        <w:rPr>
          <w:rFonts w:ascii="Times New Roman" w:hAnsi="Times New Roman" w:eastAsia="仿宋_GB2312"/>
          <w:b/>
          <w:color w:val="auto"/>
          <w:sz w:val="24"/>
          <w:szCs w:val="21"/>
          <w:highlight w:val="none"/>
        </w:rPr>
        <w:t>16.    响应文件的制作和签署</w:t>
      </w:r>
      <w:bookmarkEnd w:id="219"/>
      <w:bookmarkEnd w:id="220"/>
      <w:bookmarkEnd w:id="221"/>
      <w:bookmarkEnd w:id="222"/>
      <w:bookmarkEnd w:id="223"/>
      <w:bookmarkEnd w:id="224"/>
      <w:bookmarkEnd w:id="225"/>
      <w:bookmarkEnd w:id="226"/>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16.1   供应商应准备一份响应文件正本和“</w:t>
      </w:r>
      <w:r>
        <w:rPr>
          <w:rFonts w:eastAsia="仿宋_GB2312"/>
          <w:b/>
          <w:color w:val="auto"/>
          <w:sz w:val="24"/>
          <w:highlight w:val="none"/>
        </w:rPr>
        <w:t>供应商须知前附表</w:t>
      </w:r>
      <w:r>
        <w:rPr>
          <w:rFonts w:eastAsia="仿宋_GB2312"/>
          <w:color w:val="auto"/>
          <w:sz w:val="24"/>
          <w:highlight w:val="none"/>
        </w:rPr>
        <w:t>”中规定数目的副本，每套响应文件须清楚地标明“正本”、“副本”。若正本和副本不符，以正本为准。</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16.4   任何行间插字、涂改或增删，必须由响应文件签字人将姓或首字母在旁边签字才有效。</w:t>
      </w:r>
    </w:p>
    <w:p>
      <w:pPr>
        <w:tabs>
          <w:tab w:val="left" w:pos="588"/>
        </w:tabs>
        <w:spacing w:line="360" w:lineRule="auto"/>
        <w:rPr>
          <w:rFonts w:eastAsia="仿宋_GB2312"/>
          <w:color w:val="auto"/>
          <w:sz w:val="24"/>
          <w:highlight w:val="none"/>
        </w:rPr>
      </w:pPr>
      <w:r>
        <w:rPr>
          <w:rFonts w:eastAsia="仿宋_GB2312"/>
          <w:color w:val="auto"/>
          <w:sz w:val="24"/>
          <w:highlight w:val="none"/>
        </w:rPr>
        <w:t>16.5   采购人不接受以电报、电话、传真、电子邮件形式递交的响应文件。</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eastAsia="仿宋_GB2312"/>
          <w:color w:val="auto"/>
          <w:sz w:val="24"/>
          <w:highlight w:val="none"/>
        </w:rPr>
      </w:pPr>
      <w:bookmarkStart w:id="227" w:name="_Hlt491765640"/>
      <w:bookmarkEnd w:id="227"/>
      <w:bookmarkStart w:id="228" w:name="_Toc500747193"/>
      <w:bookmarkStart w:id="229" w:name="_Toc249525179"/>
      <w:bookmarkStart w:id="230" w:name="_Toc256342147"/>
      <w:bookmarkStart w:id="231" w:name="_Toc500746970"/>
      <w:bookmarkStart w:id="232" w:name="_Toc232176276"/>
      <w:bookmarkStart w:id="233" w:name="_Toc176882546"/>
      <w:bookmarkStart w:id="234" w:name="_Toc177817338"/>
      <w:bookmarkStart w:id="235" w:name="_Toc53722844"/>
      <w:bookmarkStart w:id="236" w:name="_Toc389620186"/>
      <w:bookmarkStart w:id="237" w:name="_Toc496324583"/>
      <w:bookmarkStart w:id="238" w:name="_Toc499711888"/>
      <w:bookmarkStart w:id="239" w:name="_Toc230013636"/>
      <w:bookmarkStart w:id="240" w:name="_Toc184043034"/>
      <w:bookmarkStart w:id="241" w:name="_Toc232395216"/>
      <w:bookmarkStart w:id="242" w:name="_Toc230583545"/>
      <w:bookmarkStart w:id="243" w:name="_Toc499711047"/>
      <w:bookmarkStart w:id="244" w:name="_Toc249515410"/>
      <w:bookmarkStart w:id="245" w:name="_Toc500747066"/>
      <w:bookmarkStart w:id="246" w:name="_Toc385992347"/>
      <w:bookmarkStart w:id="247" w:name="_Toc177995477"/>
      <w:bookmarkStart w:id="248" w:name="_Toc230099801"/>
      <w:bookmarkStart w:id="249" w:name="_Toc492955419"/>
      <w:bookmarkStart w:id="250" w:name="_Toc70687161"/>
      <w:bookmarkStart w:id="251" w:name="_Toc177189239"/>
      <w:bookmarkStart w:id="252" w:name="_Toc503063426"/>
      <w:bookmarkStart w:id="253" w:name="_Toc249515298"/>
      <w:r>
        <w:rPr>
          <w:rFonts w:eastAsia="仿宋_GB2312"/>
          <w:color w:val="auto"/>
          <w:sz w:val="24"/>
          <w:highlight w:val="none"/>
        </w:rPr>
        <w:t>16.7   响应文件应按照“资格证明文件”和“商务及技术文件”分成两部分，并用不可拆装的方式分别装订成册。</w:t>
      </w:r>
    </w:p>
    <w:p>
      <w:pPr>
        <w:pStyle w:val="25"/>
        <w:rPr>
          <w:color w:val="auto"/>
          <w:highlight w:val="none"/>
        </w:rPr>
      </w:pPr>
    </w:p>
    <w:p>
      <w:pPr>
        <w:pStyle w:val="81"/>
        <w:spacing w:before="24" w:after="24"/>
        <w:jc w:val="center"/>
        <w:rPr>
          <w:rFonts w:eastAsia="仿宋_GB2312"/>
          <w:color w:val="auto"/>
          <w:sz w:val="30"/>
          <w:szCs w:val="30"/>
          <w:highlight w:val="none"/>
        </w:rPr>
      </w:pPr>
      <w:bookmarkStart w:id="254" w:name="_Toc30532"/>
      <w:bookmarkStart w:id="255" w:name="_Toc22056"/>
      <w:r>
        <w:rPr>
          <w:rFonts w:eastAsia="仿宋_GB2312"/>
          <w:color w:val="auto"/>
          <w:sz w:val="30"/>
          <w:szCs w:val="30"/>
          <w:highlight w:val="none"/>
        </w:rPr>
        <w:t>四、响应文件的密封和递交</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rPr>
          <w:rFonts w:eastAsia="仿宋_GB2312"/>
          <w:color w:val="auto"/>
          <w:highlight w:val="none"/>
        </w:rPr>
      </w:pPr>
    </w:p>
    <w:p>
      <w:pPr>
        <w:pStyle w:val="6"/>
        <w:rPr>
          <w:rFonts w:ascii="Times New Roman" w:hAnsi="Times New Roman" w:eastAsia="仿宋_GB2312"/>
          <w:b/>
          <w:color w:val="auto"/>
          <w:sz w:val="24"/>
          <w:szCs w:val="21"/>
          <w:highlight w:val="none"/>
        </w:rPr>
      </w:pPr>
      <w:bookmarkStart w:id="256" w:name="_Toc4042"/>
      <w:bookmarkStart w:id="257" w:name="_Toc184043035"/>
      <w:bookmarkStart w:id="258" w:name="_Toc249525180"/>
      <w:bookmarkStart w:id="259" w:name="_Toc70687162"/>
      <w:bookmarkStart w:id="260" w:name="_Toc385992348"/>
      <w:bookmarkStart w:id="261" w:name="_Toc249515411"/>
      <w:bookmarkStart w:id="262" w:name="_Toc249515299"/>
      <w:bookmarkStart w:id="263" w:name="_Toc389620187"/>
      <w:r>
        <w:rPr>
          <w:rFonts w:ascii="Times New Roman" w:hAnsi="Times New Roman" w:eastAsia="仿宋_GB2312"/>
          <w:b/>
          <w:color w:val="auto"/>
          <w:sz w:val="24"/>
          <w:szCs w:val="21"/>
          <w:highlight w:val="none"/>
        </w:rPr>
        <w:t>17.    响应文件的密封和标记</w:t>
      </w:r>
      <w:bookmarkEnd w:id="256"/>
      <w:bookmarkEnd w:id="257"/>
      <w:bookmarkEnd w:id="258"/>
      <w:bookmarkEnd w:id="259"/>
      <w:bookmarkEnd w:id="260"/>
      <w:bookmarkEnd w:id="261"/>
      <w:bookmarkEnd w:id="262"/>
      <w:bookmarkEnd w:id="263"/>
    </w:p>
    <w:p>
      <w:pPr>
        <w:tabs>
          <w:tab w:val="left" w:pos="588"/>
        </w:tabs>
        <w:spacing w:line="360" w:lineRule="auto"/>
        <w:ind w:left="840" w:hanging="840" w:hangingChars="350"/>
        <w:rPr>
          <w:rFonts w:eastAsia="仿宋_GB2312"/>
          <w:color w:val="auto"/>
          <w:sz w:val="24"/>
          <w:highlight w:val="none"/>
        </w:rPr>
      </w:pPr>
      <w:bookmarkStart w:id="264" w:name="_Toc389620188"/>
      <w:bookmarkStart w:id="265" w:name="_Toc385992349"/>
      <w:bookmarkStart w:id="266" w:name="_Toc184043036"/>
      <w:bookmarkStart w:id="267" w:name="_Toc70687163"/>
      <w:r>
        <w:rPr>
          <w:rFonts w:eastAsia="仿宋_GB2312"/>
          <w:color w:val="auto"/>
          <w:kern w:val="0"/>
          <w:sz w:val="24"/>
          <w:szCs w:val="21"/>
          <w:highlight w:val="none"/>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eastAsia="仿宋_GB2312"/>
          <w:color w:val="auto"/>
          <w:sz w:val="24"/>
          <w:szCs w:val="21"/>
          <w:highlight w:val="none"/>
        </w:rPr>
      </w:pPr>
      <w:r>
        <w:rPr>
          <w:rFonts w:eastAsia="仿宋_GB2312"/>
          <w:color w:val="auto"/>
          <w:kern w:val="0"/>
          <w:sz w:val="24"/>
          <w:szCs w:val="21"/>
          <w:highlight w:val="none"/>
        </w:rPr>
        <w:t>17.2   密封袋（箱）上标识的内容见</w:t>
      </w:r>
      <w:r>
        <w:rPr>
          <w:rFonts w:eastAsia="仿宋_GB2312"/>
          <w:b/>
          <w:color w:val="auto"/>
          <w:sz w:val="24"/>
          <w:highlight w:val="none"/>
        </w:rPr>
        <w:t>供应商须知前附表。</w:t>
      </w:r>
      <w:r>
        <w:rPr>
          <w:rFonts w:eastAsia="仿宋_GB2312"/>
          <w:color w:val="auto"/>
          <w:sz w:val="24"/>
          <w:szCs w:val="21"/>
          <w:highlight w:val="none"/>
        </w:rPr>
        <w:t>响应文件</w:t>
      </w:r>
      <w:r>
        <w:rPr>
          <w:rFonts w:eastAsia="仿宋_GB2312"/>
          <w:color w:val="auto"/>
          <w:kern w:val="0"/>
          <w:sz w:val="24"/>
          <w:szCs w:val="21"/>
          <w:highlight w:val="none"/>
        </w:rPr>
        <w:t>如果</w:t>
      </w:r>
      <w:r>
        <w:rPr>
          <w:rFonts w:eastAsia="仿宋_GB2312"/>
          <w:color w:val="auto"/>
          <w:sz w:val="24"/>
          <w:szCs w:val="21"/>
          <w:highlight w:val="none"/>
        </w:rPr>
        <w:t>未按上述规定密封和标记，采购代理机构应当拒绝接收。</w:t>
      </w:r>
    </w:p>
    <w:p>
      <w:pPr>
        <w:pStyle w:val="25"/>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17.3   书面方式不能准确描述采购需求或者需要对样品进行主观判断以确认是否满足采购需求的情况下需提交样品。成交单位样品不予退还，成为合同内容的一部分，做为验收依据。样品的要求见</w:t>
      </w:r>
      <w:r>
        <w:rPr>
          <w:rFonts w:ascii="Times New Roman" w:hAnsi="Times New Roman" w:eastAsia="仿宋_GB2312"/>
          <w:b/>
          <w:color w:val="auto"/>
          <w:sz w:val="24"/>
          <w:highlight w:val="none"/>
        </w:rPr>
        <w:t>供应商须知前附表</w:t>
      </w:r>
      <w:r>
        <w:rPr>
          <w:rFonts w:ascii="Times New Roman" w:hAnsi="Times New Roman" w:eastAsia="仿宋_GB2312"/>
          <w:color w:val="auto"/>
          <w:sz w:val="24"/>
          <w:highlight w:val="none"/>
        </w:rPr>
        <w:t>。</w:t>
      </w:r>
    </w:p>
    <w:bookmarkEnd w:id="264"/>
    <w:bookmarkEnd w:id="265"/>
    <w:p>
      <w:pPr>
        <w:pStyle w:val="6"/>
        <w:rPr>
          <w:rFonts w:ascii="Times New Roman" w:hAnsi="Times New Roman" w:eastAsia="仿宋_GB2312"/>
          <w:b/>
          <w:color w:val="auto"/>
          <w:sz w:val="24"/>
          <w:szCs w:val="21"/>
          <w:highlight w:val="none"/>
        </w:rPr>
      </w:pPr>
      <w:bookmarkStart w:id="268" w:name="_Toc249525181"/>
      <w:bookmarkStart w:id="269" w:name="_Toc249515300"/>
      <w:bookmarkStart w:id="270" w:name="_Toc31171"/>
      <w:bookmarkStart w:id="271" w:name="_Toc249515412"/>
      <w:r>
        <w:rPr>
          <w:rFonts w:ascii="Times New Roman" w:hAnsi="Times New Roman" w:eastAsia="仿宋_GB2312"/>
          <w:b/>
          <w:color w:val="auto"/>
          <w:sz w:val="24"/>
          <w:szCs w:val="21"/>
          <w:highlight w:val="none"/>
        </w:rPr>
        <w:t>18.    响应文件递交截止时间</w:t>
      </w:r>
      <w:bookmarkEnd w:id="266"/>
      <w:bookmarkEnd w:id="267"/>
      <w:bookmarkEnd w:id="268"/>
      <w:bookmarkEnd w:id="269"/>
      <w:bookmarkEnd w:id="270"/>
      <w:bookmarkEnd w:id="271"/>
    </w:p>
    <w:p>
      <w:pPr>
        <w:tabs>
          <w:tab w:val="left" w:pos="588"/>
        </w:tabs>
        <w:spacing w:line="360" w:lineRule="auto"/>
        <w:rPr>
          <w:rFonts w:eastAsia="仿宋_GB2312"/>
          <w:color w:val="auto"/>
          <w:sz w:val="24"/>
          <w:highlight w:val="none"/>
        </w:rPr>
      </w:pPr>
      <w:bookmarkStart w:id="272" w:name="_Toc184043037"/>
      <w:bookmarkStart w:id="273" w:name="_Toc385992350"/>
      <w:bookmarkStart w:id="274" w:name="_Toc70687164"/>
      <w:bookmarkStart w:id="275" w:name="_Toc389620189"/>
      <w:r>
        <w:rPr>
          <w:rFonts w:eastAsia="仿宋_GB2312"/>
          <w:color w:val="auto"/>
          <w:sz w:val="24"/>
          <w:highlight w:val="none"/>
        </w:rPr>
        <w:t>18.1   响应文件递交截止时间和地点见</w:t>
      </w:r>
      <w:r>
        <w:rPr>
          <w:rFonts w:eastAsia="仿宋_GB2312"/>
          <w:b/>
          <w:color w:val="auto"/>
          <w:sz w:val="24"/>
          <w:highlight w:val="none"/>
        </w:rPr>
        <w:t>供应商须知前附表</w:t>
      </w:r>
      <w:r>
        <w:rPr>
          <w:rFonts w:eastAsia="仿宋_GB2312"/>
          <w:color w:val="auto"/>
          <w:sz w:val="24"/>
          <w:highlight w:val="none"/>
        </w:rPr>
        <w:t>。</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18.3   采购人可以按本须知第7条规定，通知修改磋商文件，适当延长响应文件递交截止时间。在此情况下，采购人和供应商受响应文件递交截止时间制约的所有权利和义务均应延长至新的截止期。</w:t>
      </w:r>
    </w:p>
    <w:p>
      <w:pPr>
        <w:pStyle w:val="6"/>
        <w:rPr>
          <w:rFonts w:ascii="Times New Roman" w:hAnsi="Times New Roman" w:eastAsia="仿宋_GB2312"/>
          <w:b/>
          <w:color w:val="auto"/>
          <w:sz w:val="24"/>
          <w:szCs w:val="21"/>
          <w:highlight w:val="none"/>
        </w:rPr>
      </w:pPr>
      <w:bookmarkStart w:id="276" w:name="_Toc249515413"/>
      <w:bookmarkStart w:id="277" w:name="_Toc249525182"/>
      <w:bookmarkStart w:id="278" w:name="_Toc249515301"/>
      <w:bookmarkStart w:id="279" w:name="_Toc7175"/>
      <w:r>
        <w:rPr>
          <w:rFonts w:ascii="Times New Roman" w:hAnsi="Times New Roman" w:eastAsia="仿宋_GB2312"/>
          <w:b/>
          <w:color w:val="auto"/>
          <w:sz w:val="24"/>
          <w:szCs w:val="21"/>
          <w:highlight w:val="none"/>
        </w:rPr>
        <w:t>19.    迟交的响应文件</w:t>
      </w:r>
      <w:bookmarkEnd w:id="272"/>
      <w:bookmarkEnd w:id="273"/>
      <w:bookmarkEnd w:id="274"/>
      <w:bookmarkEnd w:id="275"/>
      <w:bookmarkEnd w:id="276"/>
      <w:bookmarkEnd w:id="277"/>
      <w:bookmarkEnd w:id="278"/>
      <w:bookmarkEnd w:id="279"/>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19.1   采购人将拒绝接收第18条规定的响应文件递交截止时间后递交的任何响应文件。</w:t>
      </w:r>
    </w:p>
    <w:p>
      <w:pPr>
        <w:pStyle w:val="6"/>
        <w:rPr>
          <w:rFonts w:ascii="Times New Roman" w:hAnsi="Times New Roman" w:eastAsia="仿宋_GB2312"/>
          <w:b/>
          <w:color w:val="auto"/>
          <w:sz w:val="24"/>
          <w:szCs w:val="21"/>
          <w:highlight w:val="none"/>
        </w:rPr>
      </w:pPr>
      <w:bookmarkStart w:id="280" w:name="_Toc249515414"/>
      <w:bookmarkStart w:id="281" w:name="_Toc184043038"/>
      <w:bookmarkStart w:id="282" w:name="_Toc249525183"/>
      <w:bookmarkStart w:id="283" w:name="_Toc249515302"/>
      <w:bookmarkStart w:id="284" w:name="_Toc10272"/>
      <w:bookmarkStart w:id="285" w:name="_Toc389620190"/>
      <w:bookmarkStart w:id="286" w:name="_Toc70687165"/>
      <w:bookmarkStart w:id="287" w:name="_Toc385992351"/>
      <w:r>
        <w:rPr>
          <w:rFonts w:ascii="Times New Roman" w:hAnsi="Times New Roman" w:eastAsia="仿宋_GB2312"/>
          <w:b/>
          <w:color w:val="auto"/>
          <w:sz w:val="24"/>
          <w:szCs w:val="21"/>
          <w:highlight w:val="none"/>
        </w:rPr>
        <w:t>20.    响应文件的修改和撤</w:t>
      </w:r>
      <w:bookmarkEnd w:id="280"/>
      <w:bookmarkEnd w:id="281"/>
      <w:bookmarkEnd w:id="282"/>
      <w:bookmarkEnd w:id="283"/>
      <w:bookmarkEnd w:id="284"/>
      <w:bookmarkEnd w:id="285"/>
      <w:bookmarkEnd w:id="286"/>
      <w:bookmarkEnd w:id="287"/>
      <w:r>
        <w:rPr>
          <w:rFonts w:ascii="Times New Roman" w:hAnsi="Times New Roman" w:eastAsia="仿宋_GB2312"/>
          <w:b/>
          <w:color w:val="auto"/>
          <w:sz w:val="24"/>
          <w:szCs w:val="21"/>
          <w:highlight w:val="none"/>
        </w:rPr>
        <w:t>回</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eastAsia="仿宋_GB2312"/>
          <w:color w:val="auto"/>
          <w:sz w:val="24"/>
          <w:highlight w:val="none"/>
        </w:rPr>
      </w:pPr>
      <w:r>
        <w:rPr>
          <w:rFonts w:eastAsia="仿宋_GB2312"/>
          <w:color w:val="auto"/>
          <w:sz w:val="24"/>
          <w:highlight w:val="none"/>
        </w:rPr>
        <w:t>20.2   在响应文件递交截止时间之后，供应商不得对其响应文件做任何修改。</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20.3   供应商不得在响应文件递交截止时间起至响应文件有效期期满前撤销其响应文件。</w:t>
      </w:r>
    </w:p>
    <w:p>
      <w:pPr>
        <w:pStyle w:val="25"/>
        <w:rPr>
          <w:color w:val="auto"/>
          <w:highlight w:val="none"/>
        </w:rPr>
      </w:pPr>
    </w:p>
    <w:p>
      <w:pPr>
        <w:pStyle w:val="81"/>
        <w:spacing w:before="24" w:after="24"/>
        <w:ind w:left="3313"/>
        <w:rPr>
          <w:rFonts w:eastAsia="仿宋_GB2312"/>
          <w:color w:val="auto"/>
          <w:sz w:val="30"/>
          <w:szCs w:val="30"/>
          <w:highlight w:val="none"/>
        </w:rPr>
      </w:pPr>
      <w:bookmarkStart w:id="288" w:name="_Hlt491765712"/>
      <w:bookmarkEnd w:id="288"/>
      <w:bookmarkStart w:id="289" w:name="_Hlt497729441"/>
      <w:bookmarkEnd w:id="289"/>
      <w:bookmarkStart w:id="290" w:name="_Toc249515303"/>
      <w:bookmarkStart w:id="291" w:name="_Toc249525184"/>
      <w:bookmarkStart w:id="292" w:name="_Toc256342148"/>
      <w:bookmarkStart w:id="293" w:name="_Toc249515415"/>
      <w:bookmarkStart w:id="294" w:name="_Toc21673"/>
      <w:bookmarkStart w:id="295" w:name="_Toc5821"/>
      <w:bookmarkStart w:id="296" w:name="_Toc500747194"/>
      <w:bookmarkStart w:id="297" w:name="_Toc389620191"/>
      <w:bookmarkStart w:id="298" w:name="_Toc184043039"/>
      <w:bookmarkStart w:id="299" w:name="_Toc500747067"/>
      <w:bookmarkStart w:id="300" w:name="_Toc496324584"/>
      <w:bookmarkStart w:id="301" w:name="_Toc177817339"/>
      <w:bookmarkStart w:id="302" w:name="_Toc499711048"/>
      <w:bookmarkStart w:id="303" w:name="_Toc499711889"/>
      <w:bookmarkStart w:id="304" w:name="_Toc385992352"/>
      <w:bookmarkStart w:id="305" w:name="_Toc177995478"/>
      <w:bookmarkStart w:id="306" w:name="_Toc492955420"/>
      <w:bookmarkStart w:id="307" w:name="_Toc500746971"/>
      <w:bookmarkStart w:id="308" w:name="_Toc177189240"/>
      <w:bookmarkStart w:id="309" w:name="_Toc70687166"/>
      <w:bookmarkStart w:id="310" w:name="_Toc176882547"/>
      <w:bookmarkStart w:id="311" w:name="_Toc53722845"/>
      <w:bookmarkStart w:id="312" w:name="_Toc503063427"/>
      <w:r>
        <w:rPr>
          <w:rFonts w:eastAsia="仿宋_GB2312"/>
          <w:color w:val="auto"/>
          <w:sz w:val="30"/>
          <w:szCs w:val="30"/>
          <w:highlight w:val="none"/>
        </w:rPr>
        <w:t>五、评审与</w:t>
      </w:r>
      <w:bookmarkEnd w:id="290"/>
      <w:bookmarkEnd w:id="291"/>
      <w:bookmarkEnd w:id="292"/>
      <w:bookmarkEnd w:id="293"/>
      <w:r>
        <w:rPr>
          <w:rFonts w:eastAsia="仿宋_GB2312"/>
          <w:color w:val="auto"/>
          <w:sz w:val="30"/>
          <w:szCs w:val="30"/>
          <w:highlight w:val="none"/>
        </w:rPr>
        <w:t>磋商</w:t>
      </w:r>
      <w:bookmarkEnd w:id="294"/>
      <w:bookmarkEnd w:id="295"/>
    </w:p>
    <w:p>
      <w:pPr>
        <w:pStyle w:val="6"/>
        <w:numPr>
          <w:ilvl w:val="0"/>
          <w:numId w:val="8"/>
        </w:numPr>
        <w:rPr>
          <w:rFonts w:ascii="Times New Roman" w:hAnsi="Times New Roman" w:eastAsia="仿宋_GB2312"/>
          <w:b/>
          <w:color w:val="auto"/>
          <w:sz w:val="24"/>
          <w:highlight w:val="none"/>
        </w:rPr>
      </w:pPr>
      <w:bookmarkStart w:id="313" w:name="_Toc16042"/>
      <w:bookmarkStart w:id="314" w:name="_Toc249515305"/>
      <w:bookmarkStart w:id="315" w:name="_Toc249515417"/>
      <w:bookmarkStart w:id="316" w:name="_Toc249525186"/>
      <w:r>
        <w:rPr>
          <w:rFonts w:ascii="Times New Roman" w:hAnsi="Times New Roman" w:eastAsia="仿宋_GB2312"/>
          <w:b/>
          <w:color w:val="auto"/>
          <w:sz w:val="24"/>
          <w:highlight w:val="none"/>
        </w:rPr>
        <w:t xml:space="preserve">   磋商小组</w:t>
      </w:r>
      <w:bookmarkEnd w:id="313"/>
      <w:bookmarkEnd w:id="314"/>
      <w:bookmarkEnd w:id="315"/>
      <w:bookmarkEnd w:id="316"/>
    </w:p>
    <w:p>
      <w:pPr>
        <w:pStyle w:val="31"/>
        <w:adjustRightInd w:val="0"/>
        <w:snapToGrid w:val="0"/>
        <w:ind w:left="840" w:hanging="840" w:hangingChars="350"/>
        <w:rPr>
          <w:rFonts w:ascii="Times New Roman" w:hAnsi="Times New Roman" w:eastAsia="仿宋_GB2312"/>
          <w:b/>
          <w:color w:val="auto"/>
          <w:sz w:val="24"/>
          <w:highlight w:val="none"/>
        </w:rPr>
      </w:pPr>
      <w:r>
        <w:rPr>
          <w:rFonts w:ascii="Times New Roman" w:hAnsi="Times New Roman" w:eastAsia="仿宋_GB2312"/>
          <w:color w:val="auto"/>
          <w:sz w:val="24"/>
          <w:szCs w:val="24"/>
          <w:highlight w:val="none"/>
        </w:rPr>
        <w:t>21.1   在磋商开始前组建磋商小组，磋商小组由采购人代表和有关专家组成。专家从政府采购评审专家库相关专业中随机抽取。磋商小组组成见</w:t>
      </w:r>
      <w:r>
        <w:rPr>
          <w:rFonts w:ascii="Times New Roman" w:hAnsi="Times New Roman" w:eastAsia="仿宋_GB2312"/>
          <w:b/>
          <w:color w:val="auto"/>
          <w:sz w:val="24"/>
          <w:highlight w:val="none"/>
        </w:rPr>
        <w:t>供应商须知前附表。</w:t>
      </w:r>
    </w:p>
    <w:p>
      <w:pPr>
        <w:pStyle w:val="31"/>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21.2   磋商小组职责</w:t>
      </w:r>
    </w:p>
    <w:p>
      <w:pPr>
        <w:pStyle w:val="31"/>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（1）确认竞争性磋商文件；</w:t>
      </w:r>
    </w:p>
    <w:p>
      <w:pPr>
        <w:pStyle w:val="31"/>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（2）审查通过了资格审查的供应商响应文件并做出评价；</w:t>
      </w:r>
    </w:p>
    <w:p>
      <w:pPr>
        <w:pStyle w:val="31"/>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（3）要求供应商解释或者澄清其响应文件；</w:t>
      </w:r>
    </w:p>
    <w:p>
      <w:pPr>
        <w:pStyle w:val="31"/>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（4）编写评审报告；</w:t>
      </w:r>
    </w:p>
    <w:p>
      <w:pPr>
        <w:pStyle w:val="31"/>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（5）告知采购人、采购代理机构在评审过程中发现的供应商的违法违规行为。</w:t>
      </w:r>
    </w:p>
    <w:p>
      <w:pPr>
        <w:pStyle w:val="31"/>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21.3   磋商小组义务</w:t>
      </w:r>
    </w:p>
    <w:p>
      <w:pPr>
        <w:pStyle w:val="31"/>
        <w:adjustRightInd w:val="0"/>
        <w:snapToGrid w:val="0"/>
        <w:ind w:left="838" w:leftChars="399"/>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（1）遵纪客观、公正、审慎的原则；</w:t>
      </w:r>
    </w:p>
    <w:p>
      <w:pPr>
        <w:pStyle w:val="31"/>
        <w:adjustRightInd w:val="0"/>
        <w:snapToGrid w:val="0"/>
        <w:ind w:left="838" w:leftChars="399"/>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（2）根据磋商文件的规定评审程序、评审方法和评审标准独立进行评审，对个人的评审意见承担法律责任；</w:t>
      </w:r>
    </w:p>
    <w:p>
      <w:pPr>
        <w:pStyle w:val="31"/>
        <w:adjustRightInd w:val="0"/>
        <w:snapToGrid w:val="0"/>
        <w:ind w:left="838" w:leftChars="399"/>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（3）参与评审报告的起草；</w:t>
      </w:r>
    </w:p>
    <w:p>
      <w:pPr>
        <w:pStyle w:val="31"/>
        <w:adjustRightInd w:val="0"/>
        <w:snapToGrid w:val="0"/>
        <w:ind w:left="838" w:leftChars="399"/>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（4）配合采购人、采购代理机构答复供应商提出的质疑；</w:t>
      </w:r>
    </w:p>
    <w:p>
      <w:pPr>
        <w:pStyle w:val="31"/>
        <w:adjustRightInd w:val="0"/>
        <w:snapToGrid w:val="0"/>
        <w:ind w:left="838" w:leftChars="399"/>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（5）配合财政部门的投诉处理和监督检查工作。</w:t>
      </w:r>
    </w:p>
    <w:p>
      <w:pPr>
        <w:pStyle w:val="31"/>
        <w:adjustRightInd w:val="0"/>
        <w:snapToGrid w:val="0"/>
        <w:ind w:left="840" w:hanging="840" w:hangingChars="35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21.4   确认磋商文件：磋商小组对磋商文件进行审阅，无修改进行签字确认，有修改，修改内容经采购人确认后，磋商小组以书面形式通知所有供应商。</w:t>
      </w:r>
    </w:p>
    <w:p>
      <w:pPr>
        <w:pStyle w:val="6"/>
        <w:rPr>
          <w:rFonts w:ascii="Times New Roman" w:hAnsi="Times New Roman" w:eastAsia="仿宋_GB2312"/>
          <w:b/>
          <w:color w:val="auto"/>
          <w:sz w:val="24"/>
          <w:szCs w:val="21"/>
          <w:highlight w:val="none"/>
        </w:rPr>
      </w:pPr>
      <w:r>
        <w:rPr>
          <w:rFonts w:ascii="Times New Roman" w:hAnsi="Times New Roman" w:eastAsia="仿宋_GB2312"/>
          <w:b/>
          <w:color w:val="auto"/>
          <w:sz w:val="24"/>
          <w:szCs w:val="21"/>
          <w:highlight w:val="none"/>
        </w:rPr>
        <w:t>22.    磋商小组成员有下列情形之一的，应当回避：</w:t>
      </w:r>
    </w:p>
    <w:p>
      <w:pPr>
        <w:pStyle w:val="6"/>
        <w:tabs>
          <w:tab w:val="left" w:pos="360"/>
        </w:tabs>
        <w:rPr>
          <w:rFonts w:ascii="Times New Roman" w:hAnsi="Times New Roman" w:eastAsia="仿宋_GB2312"/>
          <w:color w:val="auto"/>
          <w:sz w:val="24"/>
          <w:szCs w:val="21"/>
          <w:highlight w:val="none"/>
        </w:rPr>
      </w:pPr>
      <w:r>
        <w:rPr>
          <w:rFonts w:ascii="Times New Roman" w:hAnsi="Times New Roman" w:eastAsia="仿宋_GB2312"/>
          <w:color w:val="auto"/>
          <w:sz w:val="24"/>
          <w:szCs w:val="21"/>
          <w:highlight w:val="none"/>
        </w:rPr>
        <w:t>22.1   参加采购活动前3年内与供应商存在劳动关系；</w:t>
      </w:r>
    </w:p>
    <w:p>
      <w:pPr>
        <w:pStyle w:val="6"/>
        <w:tabs>
          <w:tab w:val="left" w:pos="360"/>
        </w:tabs>
        <w:rPr>
          <w:rFonts w:ascii="Times New Roman" w:hAnsi="Times New Roman" w:eastAsia="仿宋_GB2312"/>
          <w:color w:val="auto"/>
          <w:sz w:val="24"/>
          <w:szCs w:val="21"/>
          <w:highlight w:val="none"/>
        </w:rPr>
      </w:pPr>
      <w:r>
        <w:rPr>
          <w:rFonts w:ascii="Times New Roman" w:hAnsi="Times New Roman" w:eastAsia="仿宋_GB2312"/>
          <w:color w:val="auto"/>
          <w:sz w:val="24"/>
          <w:szCs w:val="21"/>
          <w:highlight w:val="none"/>
        </w:rPr>
        <w:t>22.2   参加采购活动前3年内担任供应商的董事、监事；</w:t>
      </w:r>
    </w:p>
    <w:p>
      <w:pPr>
        <w:pStyle w:val="6"/>
        <w:tabs>
          <w:tab w:val="left" w:pos="360"/>
        </w:tabs>
        <w:rPr>
          <w:rFonts w:ascii="Times New Roman" w:hAnsi="Times New Roman" w:eastAsia="仿宋_GB2312"/>
          <w:color w:val="auto"/>
          <w:sz w:val="24"/>
          <w:szCs w:val="21"/>
          <w:highlight w:val="none"/>
        </w:rPr>
      </w:pPr>
      <w:r>
        <w:rPr>
          <w:rFonts w:ascii="Times New Roman" w:hAnsi="Times New Roman" w:eastAsia="仿宋_GB2312"/>
          <w:color w:val="auto"/>
          <w:sz w:val="24"/>
          <w:szCs w:val="21"/>
          <w:highlight w:val="none"/>
        </w:rPr>
        <w:t>22.3   参加采购活动前3年内是供应商的控股股东或者实际控制人；</w:t>
      </w:r>
    </w:p>
    <w:p>
      <w:pPr>
        <w:pStyle w:val="6"/>
        <w:tabs>
          <w:tab w:val="left" w:pos="360"/>
        </w:tabs>
        <w:ind w:left="840" w:hanging="840" w:hangingChars="350"/>
        <w:rPr>
          <w:rFonts w:ascii="Times New Roman" w:hAnsi="Times New Roman" w:eastAsia="仿宋_GB2312"/>
          <w:color w:val="auto"/>
          <w:sz w:val="24"/>
          <w:szCs w:val="21"/>
          <w:highlight w:val="none"/>
        </w:rPr>
      </w:pPr>
      <w:r>
        <w:rPr>
          <w:rFonts w:ascii="Times New Roman" w:hAnsi="Times New Roman" w:eastAsia="仿宋_GB2312"/>
          <w:color w:val="auto"/>
          <w:sz w:val="24"/>
          <w:szCs w:val="21"/>
          <w:highlight w:val="none"/>
        </w:rPr>
        <w:t>22.4   与供应商的法定代表人或者负责人有夫妻、直系血亲、三代以内旁系血亲或者近姻亲关系；</w:t>
      </w:r>
    </w:p>
    <w:p>
      <w:pPr>
        <w:pStyle w:val="6"/>
        <w:tabs>
          <w:tab w:val="left" w:pos="360"/>
        </w:tabs>
        <w:rPr>
          <w:rFonts w:ascii="Times New Roman" w:hAnsi="Times New Roman" w:eastAsia="仿宋_GB2312"/>
          <w:color w:val="auto"/>
          <w:sz w:val="24"/>
          <w:szCs w:val="21"/>
          <w:highlight w:val="none"/>
        </w:rPr>
      </w:pPr>
      <w:r>
        <w:rPr>
          <w:rFonts w:ascii="Times New Roman" w:hAnsi="Times New Roman" w:eastAsia="仿宋_GB2312"/>
          <w:color w:val="auto"/>
          <w:sz w:val="24"/>
          <w:szCs w:val="21"/>
          <w:highlight w:val="none"/>
        </w:rPr>
        <w:t>22.5   与供应商有其他可能影响政府采购活动公平、公正进行的关系。</w:t>
      </w:r>
    </w:p>
    <w:p>
      <w:pPr>
        <w:pStyle w:val="6"/>
        <w:rPr>
          <w:rFonts w:ascii="Times New Roman" w:hAnsi="Times New Roman" w:eastAsia="仿宋_GB2312"/>
          <w:b/>
          <w:color w:val="auto"/>
          <w:sz w:val="24"/>
          <w:szCs w:val="21"/>
          <w:highlight w:val="none"/>
        </w:rPr>
      </w:pPr>
      <w:bookmarkStart w:id="317" w:name="_Toc83547667"/>
      <w:bookmarkStart w:id="318" w:name="_Toc249515306"/>
      <w:bookmarkStart w:id="319" w:name="_Toc249525187"/>
      <w:bookmarkStart w:id="320" w:name="_Toc20608"/>
      <w:bookmarkStart w:id="321" w:name="_Toc249515418"/>
      <w:r>
        <w:rPr>
          <w:rFonts w:ascii="Times New Roman" w:hAnsi="Times New Roman" w:eastAsia="仿宋_GB2312"/>
          <w:b/>
          <w:color w:val="auto"/>
          <w:sz w:val="24"/>
          <w:szCs w:val="21"/>
          <w:highlight w:val="none"/>
        </w:rPr>
        <w:t>23.    磋商程序</w:t>
      </w:r>
    </w:p>
    <w:p>
      <w:pPr>
        <w:pStyle w:val="6"/>
        <w:tabs>
          <w:tab w:val="left" w:pos="360"/>
        </w:tabs>
        <w:rPr>
          <w:rFonts w:ascii="Times New Roman" w:hAnsi="Times New Roman" w:eastAsia="仿宋_GB2312"/>
          <w:b/>
          <w:color w:val="auto"/>
          <w:sz w:val="24"/>
          <w:szCs w:val="21"/>
          <w:highlight w:val="none"/>
        </w:rPr>
      </w:pPr>
      <w:bookmarkStart w:id="322" w:name="_Toc58504507"/>
      <w:r>
        <w:rPr>
          <w:rFonts w:ascii="Times New Roman" w:hAnsi="Times New Roman" w:eastAsia="仿宋_GB2312"/>
          <w:b/>
          <w:color w:val="auto"/>
          <w:sz w:val="24"/>
          <w:szCs w:val="21"/>
          <w:highlight w:val="none"/>
        </w:rPr>
        <w:t>23.1   磋商会议</w:t>
      </w:r>
      <w:bookmarkEnd w:id="322"/>
    </w:p>
    <w:p>
      <w:pPr>
        <w:pStyle w:val="25"/>
        <w:ind w:left="840" w:leftChars="400"/>
        <w:rPr>
          <w:rFonts w:ascii="Times New Roman" w:hAnsi="Times New Roman" w:eastAsia="仿宋_GB2312"/>
          <w:color w:val="auto"/>
          <w:sz w:val="24"/>
          <w:szCs w:val="32"/>
          <w:highlight w:val="none"/>
        </w:rPr>
      </w:pPr>
      <w:bookmarkStart w:id="323" w:name="_Toc58504508"/>
      <w:r>
        <w:rPr>
          <w:rFonts w:ascii="Times New Roman" w:hAnsi="Times New Roman" w:eastAsia="仿宋_GB2312"/>
          <w:color w:val="auto"/>
          <w:sz w:val="24"/>
          <w:szCs w:val="32"/>
          <w:highlight w:val="none"/>
        </w:rPr>
        <w:t>（1）在磋商文件规定的时间和地点，由采购代理机构组织磋商工作，供应商须委派代表参加，签名以证明其出席。</w:t>
      </w:r>
      <w:bookmarkEnd w:id="323"/>
    </w:p>
    <w:p>
      <w:pPr>
        <w:pStyle w:val="25"/>
        <w:ind w:left="840" w:leftChars="400"/>
        <w:rPr>
          <w:rFonts w:ascii="Times New Roman" w:hAnsi="Times New Roman" w:eastAsia="仿宋_GB2312"/>
          <w:color w:val="auto"/>
          <w:sz w:val="24"/>
          <w:szCs w:val="32"/>
          <w:highlight w:val="none"/>
        </w:rPr>
      </w:pPr>
      <w:bookmarkStart w:id="324" w:name="_Toc58504509"/>
      <w:r>
        <w:rPr>
          <w:rFonts w:ascii="Times New Roman" w:hAnsi="Times New Roman" w:eastAsia="仿宋_GB2312"/>
          <w:color w:val="auto"/>
          <w:sz w:val="24"/>
          <w:szCs w:val="32"/>
          <w:highlight w:val="none"/>
        </w:rPr>
        <w:t>（2）各供应商或其推荐的代表与采购监督人共同检查响应文件的密封情况，经检查无误后，签字确认。</w:t>
      </w:r>
      <w:bookmarkEnd w:id="324"/>
    </w:p>
    <w:p>
      <w:pPr>
        <w:pStyle w:val="25"/>
        <w:ind w:left="840" w:leftChars="400"/>
        <w:rPr>
          <w:rFonts w:ascii="Times New Roman" w:hAnsi="Times New Roman" w:eastAsia="仿宋_GB2312"/>
          <w:color w:val="auto"/>
          <w:sz w:val="24"/>
          <w:szCs w:val="32"/>
          <w:highlight w:val="none"/>
        </w:rPr>
      </w:pPr>
      <w:bookmarkStart w:id="325" w:name="_Toc58504510"/>
      <w:r>
        <w:rPr>
          <w:rFonts w:ascii="Times New Roman" w:hAnsi="Times New Roman" w:eastAsia="仿宋_GB2312"/>
          <w:color w:val="auto"/>
          <w:sz w:val="24"/>
          <w:szCs w:val="32"/>
          <w:highlight w:val="none"/>
        </w:rPr>
        <w:t>（3）采购代理机构工作人员按照顺序，将各供应商首次响应文件的份数等内容公布，无异议后，由供应商法定代表人（或授权代表人）和监督人签字确认。</w:t>
      </w:r>
      <w:bookmarkEnd w:id="325"/>
    </w:p>
    <w:p>
      <w:pPr>
        <w:pStyle w:val="6"/>
        <w:tabs>
          <w:tab w:val="left" w:pos="360"/>
        </w:tabs>
        <w:rPr>
          <w:rFonts w:ascii="Times New Roman" w:hAnsi="Times New Roman" w:eastAsia="仿宋_GB2312"/>
          <w:b/>
          <w:color w:val="auto"/>
          <w:sz w:val="24"/>
          <w:szCs w:val="21"/>
          <w:highlight w:val="none"/>
        </w:rPr>
      </w:pPr>
      <w:bookmarkStart w:id="326" w:name="_Toc58504511"/>
      <w:r>
        <w:rPr>
          <w:rFonts w:ascii="Times New Roman" w:hAnsi="Times New Roman" w:eastAsia="仿宋_GB2312"/>
          <w:b/>
          <w:color w:val="auto"/>
          <w:sz w:val="24"/>
          <w:szCs w:val="21"/>
          <w:highlight w:val="none"/>
        </w:rPr>
        <w:t>23.2   响应文件</w:t>
      </w:r>
      <w:bookmarkEnd w:id="317"/>
      <w:bookmarkEnd w:id="318"/>
      <w:bookmarkEnd w:id="319"/>
      <w:bookmarkEnd w:id="320"/>
      <w:bookmarkEnd w:id="321"/>
      <w:r>
        <w:rPr>
          <w:rFonts w:ascii="Times New Roman" w:hAnsi="Times New Roman" w:eastAsia="仿宋_GB2312"/>
          <w:b/>
          <w:color w:val="auto"/>
          <w:sz w:val="24"/>
          <w:szCs w:val="21"/>
          <w:highlight w:val="none"/>
        </w:rPr>
        <w:t>评审</w:t>
      </w:r>
      <w:bookmarkEnd w:id="326"/>
    </w:p>
    <w:p>
      <w:pPr>
        <w:tabs>
          <w:tab w:val="left" w:pos="360"/>
          <w:tab w:val="left" w:pos="588"/>
        </w:tabs>
        <w:spacing w:line="360" w:lineRule="auto"/>
        <w:ind w:left="843" w:hanging="843" w:hangingChars="350"/>
        <w:rPr>
          <w:rFonts w:eastAsia="仿宋_GB2312"/>
          <w:color w:val="auto"/>
          <w:sz w:val="24"/>
          <w:highlight w:val="none"/>
        </w:rPr>
      </w:pPr>
      <w:bookmarkStart w:id="327" w:name="_Toc83547671"/>
      <w:r>
        <w:rPr>
          <w:rFonts w:eastAsia="仿宋_GB2312"/>
          <w:b/>
          <w:color w:val="auto"/>
          <w:sz w:val="24"/>
          <w:highlight w:val="none"/>
        </w:rPr>
        <w:t>23.2.1 响应文件的资格性审查</w:t>
      </w:r>
      <w:r>
        <w:rPr>
          <w:rFonts w:eastAsia="仿宋_GB2312"/>
          <w:color w:val="auto"/>
          <w:sz w:val="24"/>
          <w:highlight w:val="none"/>
        </w:rPr>
        <w:t>。依据《</w:t>
      </w:r>
      <w:r>
        <w:rPr>
          <w:rFonts w:ascii="Times New Roman" w:hAnsi="Times New Roman" w:eastAsia="仿宋_GB2312"/>
          <w:color w:val="auto"/>
          <w:sz w:val="24"/>
          <w:highlight w:val="none"/>
        </w:rPr>
        <w:t>中华人民共和国政府采购法</w:t>
      </w:r>
      <w:r>
        <w:rPr>
          <w:rFonts w:eastAsia="仿宋_GB2312"/>
          <w:color w:val="auto"/>
          <w:sz w:val="24"/>
          <w:highlight w:val="none"/>
        </w:rPr>
        <w:t>》第二十三条和磋商文件的规定，</w:t>
      </w:r>
      <w:r>
        <w:rPr>
          <w:rFonts w:eastAsia="仿宋_GB2312"/>
          <w:b/>
          <w:color w:val="auto"/>
          <w:sz w:val="24"/>
          <w:highlight w:val="none"/>
        </w:rPr>
        <w:t>采购人或采购代理机构负责</w:t>
      </w:r>
      <w:r>
        <w:rPr>
          <w:rFonts w:eastAsia="仿宋_GB2312"/>
          <w:color w:val="auto"/>
          <w:sz w:val="24"/>
          <w:highlight w:val="none"/>
        </w:rPr>
        <w:t>对响应文件中的资格证明文件、信用查询记录等进行审查，以确认供应商具备相应资格。资格性审查出现下列情况者（但不限于），按无效文件处理：</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highlight w:val="none"/>
        </w:rPr>
        <w:t>（</w:t>
      </w:r>
      <w:r>
        <w:rPr>
          <w:rFonts w:ascii="Times New Roman" w:hAnsi="Times New Roman" w:eastAsia="仿宋_GB2312"/>
          <w:color w:val="auto"/>
          <w:sz w:val="24"/>
          <w:highlight w:val="none"/>
        </w:rPr>
        <w:t>1）供应商不符合《中华人民共和国政府采购法》第二十二条的规定和特定资格条件要求的。</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（2）供应商没有经过正常渠道购买或免费领取磋商文件或供应商的名称与</w:t>
      </w:r>
      <w:r>
        <w:rPr>
          <w:rFonts w:hint="eastAsia" w:ascii="Times New Roman" w:hAnsi="Times New Roman" w:eastAsia="仿宋_GB2312"/>
          <w:color w:val="auto"/>
          <w:sz w:val="24"/>
          <w:highlight w:val="none"/>
        </w:rPr>
        <w:t>获取</w:t>
      </w:r>
      <w:r>
        <w:rPr>
          <w:rFonts w:ascii="Times New Roman" w:hAnsi="Times New Roman" w:eastAsia="仿宋_GB2312"/>
          <w:color w:val="auto"/>
          <w:sz w:val="24"/>
          <w:highlight w:val="none"/>
        </w:rPr>
        <w:t>磋商文件单位的名称不符。</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（4）信用查询中列入失信被执行人、重大税收违法</w:t>
      </w:r>
      <w:r>
        <w:rPr>
          <w:rFonts w:hint="eastAsia" w:ascii="Times New Roman" w:hAnsi="Times New Roman" w:eastAsia="仿宋_GB2312"/>
          <w:color w:val="auto"/>
          <w:sz w:val="24"/>
          <w:highlight w:val="none"/>
        </w:rPr>
        <w:t>失信主体</w:t>
      </w:r>
      <w:r>
        <w:rPr>
          <w:rFonts w:ascii="Times New Roman" w:hAnsi="Times New Roman" w:eastAsia="仿宋_GB2312"/>
          <w:color w:val="auto"/>
          <w:sz w:val="24"/>
          <w:highlight w:val="none"/>
        </w:rPr>
        <w:t>、政府采购严重违法失信行为记录名单及其他不符合《中华人民共和国政府采购法》第二十二条规定条件的供应商。</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（5）采购人或采购代理机构通过“信用中国”网站</w:t>
      </w:r>
      <w:r>
        <w:rPr>
          <w:rFonts w:hint="eastAsia" w:ascii="Times New Roman" w:hAnsi="Times New Roman" w:eastAsia="仿宋_GB2312"/>
          <w:color w:val="auto"/>
          <w:sz w:val="24"/>
          <w:highlight w:val="none"/>
        </w:rPr>
        <w:t>（</w:t>
      </w:r>
      <w:r>
        <w:rPr>
          <w:rFonts w:ascii="Times New Roman" w:hAnsi="Times New Roman" w:eastAsia="仿宋_GB2312"/>
          <w:color w:val="auto"/>
          <w:sz w:val="24"/>
          <w:highlight w:val="none"/>
        </w:rPr>
        <w:t>www.creditchina.gov.cn</w:t>
      </w:r>
      <w:r>
        <w:rPr>
          <w:rFonts w:hint="eastAsia" w:ascii="Times New Roman" w:hAnsi="Times New Roman" w:eastAsia="仿宋_GB2312"/>
          <w:color w:val="auto"/>
          <w:sz w:val="24"/>
          <w:highlight w:val="none"/>
        </w:rPr>
        <w:t>）</w:t>
      </w:r>
      <w:r>
        <w:rPr>
          <w:rFonts w:ascii="Times New Roman" w:hAnsi="Times New Roman" w:eastAsia="仿宋_GB2312"/>
          <w:color w:val="auto"/>
          <w:sz w:val="24"/>
          <w:highlight w:val="none"/>
        </w:rPr>
        <w:t>、中国政府采购网</w:t>
      </w:r>
      <w:r>
        <w:rPr>
          <w:rFonts w:hint="eastAsia" w:ascii="Times New Roman" w:hAnsi="Times New Roman" w:eastAsia="仿宋_GB2312"/>
          <w:color w:val="auto"/>
          <w:sz w:val="24"/>
          <w:highlight w:val="none"/>
        </w:rPr>
        <w:t>（</w:t>
      </w:r>
      <w:r>
        <w:rPr>
          <w:rFonts w:ascii="Times New Roman" w:hAnsi="Times New Roman" w:eastAsia="仿宋_GB2312"/>
          <w:color w:val="auto"/>
          <w:sz w:val="24"/>
          <w:highlight w:val="none"/>
        </w:rPr>
        <w:t>www.ccgp.gov.cn</w:t>
      </w:r>
      <w:r>
        <w:rPr>
          <w:rFonts w:hint="eastAsia" w:ascii="Times New Roman" w:hAnsi="Times New Roman" w:eastAsia="仿宋_GB2312"/>
          <w:color w:val="auto"/>
          <w:sz w:val="24"/>
          <w:highlight w:val="none"/>
        </w:rPr>
        <w:t>）</w:t>
      </w:r>
      <w:r>
        <w:rPr>
          <w:rFonts w:ascii="Times New Roman" w:hAnsi="Times New Roman" w:eastAsia="仿宋_GB2312"/>
          <w:color w:val="auto"/>
          <w:sz w:val="24"/>
          <w:highlight w:val="none"/>
        </w:rPr>
        <w:t xml:space="preserve"> 等查询相关主体信用记录，并将查询网页打印、存档备查。</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（6）查询时间为</w:t>
      </w:r>
      <w:r>
        <w:rPr>
          <w:rFonts w:hint="eastAsia" w:ascii="Times New Roman" w:hAnsi="Times New Roman" w:eastAsia="仿宋_GB2312"/>
          <w:color w:val="auto"/>
          <w:sz w:val="24"/>
          <w:highlight w:val="none"/>
        </w:rPr>
        <w:t>自采购文件发售之日起至资格性审查结束之前</w:t>
      </w:r>
      <w:r>
        <w:rPr>
          <w:rFonts w:ascii="Times New Roman" w:hAnsi="Times New Roman" w:eastAsia="仿宋_GB2312"/>
          <w:color w:val="auto"/>
          <w:sz w:val="24"/>
          <w:highlight w:val="none"/>
        </w:rPr>
        <w:t>，此段时间段外，网站信息发生的任何变更均不作为资格审查依据。</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供应商不良信用记录以采购人或采购代理机构查询结果为准。供应商自行提供的与网站信息不一致的其他证明材料亦不作为资格审查依据。</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（7）</w:t>
      </w:r>
      <w:r>
        <w:rPr>
          <w:rFonts w:hint="eastAsia" w:ascii="Times New Roman" w:hAnsi="Times New Roman" w:eastAsia="仿宋_GB2312"/>
          <w:color w:val="auto"/>
          <w:sz w:val="24"/>
          <w:highlight w:val="none"/>
        </w:rPr>
        <w:t>（</w:t>
      </w:r>
      <w:r>
        <w:rPr>
          <w:rFonts w:ascii="Times New Roman" w:hAnsi="Times New Roman" w:eastAsia="仿宋_GB2312"/>
          <w:color w:val="auto"/>
          <w:sz w:val="24"/>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Times New Roman" w:hAnsi="Times New Roman" w:eastAsia="仿宋_GB2312"/>
          <w:color w:val="auto"/>
          <w:sz w:val="24"/>
          <w:highlight w:val="none"/>
        </w:rPr>
        <w:t>）</w:t>
      </w:r>
    </w:p>
    <w:p>
      <w:pPr>
        <w:pStyle w:val="25"/>
        <w:ind w:left="843" w:hanging="843" w:hangingChars="350"/>
        <w:rPr>
          <w:rFonts w:ascii="Times New Roman" w:hAnsi="Times New Roman" w:eastAsia="仿宋_GB2312"/>
          <w:color w:val="auto"/>
          <w:sz w:val="24"/>
          <w:highlight w:val="none"/>
        </w:rPr>
      </w:pPr>
      <w:r>
        <w:rPr>
          <w:rFonts w:ascii="Times New Roman" w:hAnsi="Times New Roman" w:eastAsia="仿宋_GB2312"/>
          <w:b/>
          <w:color w:val="auto"/>
          <w:sz w:val="24"/>
          <w:highlight w:val="none"/>
        </w:rPr>
        <w:t>23.2.2 磋商响应文件有效性、完整性和响应程度审查：磋商小组</w:t>
      </w:r>
      <w:r>
        <w:rPr>
          <w:rFonts w:ascii="Times New Roman" w:hAnsi="Times New Roman" w:eastAsia="仿宋_GB2312"/>
          <w:color w:val="auto"/>
          <w:sz w:val="24"/>
          <w:highlight w:val="none"/>
        </w:rPr>
        <w:t>负责对通过资格审查的响应文件的有效性、完整性和响应性进行审查，以确定是否满足磋商文件要求，出现下列情况者（但不限于），按无效文件处理。</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（1）供应商未按磋商文件要求加盖单位公章。</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（2）磋商响应文件未按磋商文件要求进行法定代表人或其授权代表签字。</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（3）无有效期或有效期达不到磋商文件的要求。</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（4）供应商首次磋商报价出现选择性报价。</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（5）首次磋商报价超出采购预算。</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（6）响应文件中对合同草案条款附加了采购人难以接受的条件。</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（7）磋商内容出现漏项或数量与要求不符，出现重大负偏差。</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（8）响应文件中技术指标达不到采购要求，降低了产品档次或影响产品性能、功能。</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（9）响应报价与市场价偏离较大，低于成本，形成不正当竞争。</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（10）供应商提供虚假证明，开具虚假资质，出现虚假应答或故意隐瞒行为。</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 xml:space="preserve">（11）保证金未提交或未提交至指定账户、或提交保证金不符合磋商文件要求的。 </w:t>
      </w:r>
    </w:p>
    <w:p>
      <w:pPr>
        <w:pStyle w:val="6"/>
        <w:tabs>
          <w:tab w:val="left" w:pos="360"/>
        </w:tabs>
        <w:rPr>
          <w:rFonts w:ascii="Times New Roman" w:hAnsi="Times New Roman" w:eastAsia="仿宋_GB2312"/>
          <w:b/>
          <w:color w:val="auto"/>
          <w:sz w:val="24"/>
          <w:szCs w:val="21"/>
          <w:highlight w:val="none"/>
        </w:rPr>
      </w:pPr>
      <w:bookmarkStart w:id="328" w:name="_Toc58504512"/>
      <w:r>
        <w:rPr>
          <w:rFonts w:ascii="Times New Roman" w:hAnsi="Times New Roman" w:eastAsia="仿宋_GB2312"/>
          <w:b/>
          <w:color w:val="auto"/>
          <w:sz w:val="24"/>
          <w:szCs w:val="21"/>
          <w:highlight w:val="none"/>
        </w:rPr>
        <w:t>23.3   磋商</w:t>
      </w:r>
      <w:bookmarkEnd w:id="328"/>
    </w:p>
    <w:p>
      <w:pPr>
        <w:pStyle w:val="25"/>
        <w:ind w:left="840" w:hanging="840" w:hangingChars="350"/>
        <w:rPr>
          <w:rFonts w:ascii="Times New Roman" w:hAnsi="Times New Roman" w:eastAsia="仿宋_GB2312"/>
          <w:color w:val="auto"/>
          <w:sz w:val="24"/>
          <w:highlight w:val="none"/>
        </w:rPr>
      </w:pPr>
      <w:bookmarkStart w:id="329" w:name="_Toc58504513"/>
      <w:r>
        <w:rPr>
          <w:rFonts w:ascii="Times New Roman" w:hAnsi="Times New Roman" w:eastAsia="仿宋_GB2312"/>
          <w:color w:val="auto"/>
          <w:sz w:val="24"/>
          <w:highlight w:val="none"/>
        </w:rPr>
        <w:t>23.3.1 磋商小组集中与各供应商分别进行磋商，并给所有参加磋商供应商平等的磋商机会。</w:t>
      </w:r>
      <w:bookmarkEnd w:id="329"/>
    </w:p>
    <w:p>
      <w:pPr>
        <w:pStyle w:val="25"/>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23.3.2 磋商小组在对响应文件的有效性、完整性和响应程度进行审核时，以</w:t>
      </w:r>
      <w:r>
        <w:rPr>
          <w:rFonts w:ascii="Times New Roman" w:hAnsi="Times New Roman" w:eastAsia="仿宋_GB2312"/>
          <w:b/>
          <w:color w:val="auto"/>
          <w:sz w:val="24"/>
          <w:highlight w:val="none"/>
        </w:rPr>
        <w:t>书面形式</w:t>
      </w:r>
      <w:r>
        <w:rPr>
          <w:rFonts w:ascii="Times New Roman" w:hAnsi="Times New Roman" w:eastAsia="仿宋_GB2312"/>
          <w:color w:val="auto"/>
          <w:sz w:val="24"/>
          <w:highlight w:val="none"/>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5"/>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23.3.3 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23.3.4 如出现下述情形之一的，视为供应商主动退出磋商，其响应将被拒绝：</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（1）供应商未按要求确认磋商小组确定的本项目最终技术需求的；</w:t>
      </w:r>
    </w:p>
    <w:p>
      <w:pPr>
        <w:pStyle w:val="25"/>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（2）最后报价未实质性响应磋商小组确定的本项目最终技术需求的，或附有采购人无法接受的条件的。</w:t>
      </w:r>
    </w:p>
    <w:p>
      <w:pPr>
        <w:pStyle w:val="25"/>
        <w:rPr>
          <w:rFonts w:ascii="Times New Roman" w:hAnsi="Times New Roman" w:eastAsia="仿宋_GB2312"/>
          <w:b/>
          <w:color w:val="auto"/>
          <w:sz w:val="24"/>
          <w:szCs w:val="21"/>
          <w:highlight w:val="none"/>
        </w:rPr>
      </w:pPr>
      <w:r>
        <w:rPr>
          <w:rFonts w:ascii="Times New Roman" w:hAnsi="Times New Roman" w:eastAsia="仿宋_GB2312"/>
          <w:b/>
          <w:color w:val="auto"/>
          <w:sz w:val="24"/>
          <w:szCs w:val="21"/>
          <w:highlight w:val="none"/>
        </w:rPr>
        <w:t>23.4   最后报价</w:t>
      </w:r>
    </w:p>
    <w:p>
      <w:pPr>
        <w:pStyle w:val="25"/>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23.4.1 磋商结束后，磋商小组要求所有实质性响应的供应商在规定时间内提交最后报价，提交最后报价的供应商不少于3家。最后报价是供应商响应文件的有效组成部分。</w:t>
      </w:r>
    </w:p>
    <w:p>
      <w:pPr>
        <w:pStyle w:val="25"/>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6"/>
        <w:rPr>
          <w:rFonts w:ascii="Times New Roman" w:hAnsi="Times New Roman" w:eastAsia="仿宋_GB2312"/>
          <w:b/>
          <w:bCs/>
          <w:color w:val="auto"/>
          <w:sz w:val="24"/>
          <w:szCs w:val="21"/>
          <w:highlight w:val="none"/>
        </w:rPr>
      </w:pPr>
      <w:bookmarkStart w:id="330" w:name="_Toc164229241"/>
      <w:bookmarkStart w:id="331" w:name="_Toc142311048"/>
      <w:bookmarkStart w:id="332" w:name="_Toc151193934"/>
      <w:bookmarkStart w:id="333" w:name="_Toc127161460"/>
      <w:bookmarkStart w:id="334" w:name="_Toc249525191"/>
      <w:bookmarkStart w:id="335" w:name="_Toc149720839"/>
      <w:bookmarkStart w:id="336" w:name="_Toc164608660"/>
      <w:bookmarkStart w:id="337" w:name="_Toc195842911"/>
      <w:bookmarkStart w:id="338" w:name="_Toc249515310"/>
      <w:bookmarkStart w:id="339" w:name="_Ref467307010"/>
      <w:bookmarkStart w:id="340" w:name="_Toc151193716"/>
      <w:bookmarkStart w:id="341" w:name="_Toc520356170"/>
      <w:bookmarkStart w:id="342" w:name="_Toc127151747"/>
      <w:bookmarkStart w:id="343" w:name="_Toc164608815"/>
      <w:bookmarkStart w:id="344" w:name="_Toc150774751"/>
      <w:bookmarkStart w:id="345" w:name="_Toc151193644"/>
      <w:bookmarkStart w:id="346" w:name="_Toc151193860"/>
      <w:bookmarkStart w:id="347" w:name="_Toc13753"/>
      <w:bookmarkStart w:id="348" w:name="_Toc249515422"/>
      <w:bookmarkStart w:id="349" w:name="_Toc151190173"/>
      <w:bookmarkStart w:id="350" w:name="_Toc127151546"/>
      <w:bookmarkStart w:id="351" w:name="_Toc151193788"/>
      <w:bookmarkStart w:id="352" w:name="_Toc164351640"/>
      <w:bookmarkStart w:id="353" w:name="_Toc164229387"/>
      <w:bookmarkStart w:id="354" w:name="_Toc150774646"/>
      <w:bookmarkStart w:id="355" w:name="_Toc150480784"/>
      <w:bookmarkStart w:id="356" w:name="_Toc150509297"/>
      <w:r>
        <w:rPr>
          <w:rFonts w:ascii="Times New Roman" w:hAnsi="Times New Roman" w:eastAsia="仿宋_GB2312"/>
          <w:b/>
          <w:bCs/>
          <w:color w:val="auto"/>
          <w:sz w:val="24"/>
          <w:szCs w:val="21"/>
          <w:highlight w:val="none"/>
        </w:rPr>
        <w:t>24.    评审办法及</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Fonts w:ascii="Times New Roman" w:hAnsi="Times New Roman" w:eastAsia="仿宋_GB2312"/>
          <w:b/>
          <w:bCs/>
          <w:color w:val="auto"/>
          <w:sz w:val="24"/>
          <w:szCs w:val="21"/>
          <w:highlight w:val="none"/>
        </w:rPr>
        <w:t>落实政府采购政策，详见第三章。</w:t>
      </w:r>
    </w:p>
    <w:p>
      <w:pPr>
        <w:rPr>
          <w:rFonts w:eastAsia="仿宋_GB2312"/>
          <w:color w:val="auto"/>
          <w:highlight w:val="none"/>
        </w:rPr>
      </w:pPr>
    </w:p>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27"/>
    <w:p>
      <w:pPr>
        <w:pStyle w:val="81"/>
        <w:spacing w:before="24" w:after="24"/>
        <w:jc w:val="center"/>
        <w:rPr>
          <w:rFonts w:eastAsia="仿宋_GB2312"/>
          <w:color w:val="auto"/>
          <w:sz w:val="30"/>
          <w:szCs w:val="30"/>
          <w:highlight w:val="none"/>
        </w:rPr>
      </w:pPr>
      <w:bookmarkStart w:id="357" w:name="_Hlt491765714"/>
      <w:bookmarkEnd w:id="357"/>
      <w:bookmarkStart w:id="358" w:name="_Hlt497729446"/>
      <w:bookmarkEnd w:id="358"/>
      <w:bookmarkStart w:id="359" w:name="_Toc256342149"/>
      <w:bookmarkStart w:id="360" w:name="_Toc232395218"/>
      <w:bookmarkStart w:id="361" w:name="_Toc232176278"/>
      <w:bookmarkStart w:id="362" w:name="_Toc249515311"/>
      <w:bookmarkStart w:id="363" w:name="_Toc10602"/>
      <w:bookmarkStart w:id="364" w:name="_Toc249525192"/>
      <w:bookmarkStart w:id="365" w:name="_Toc249515423"/>
      <w:bookmarkStart w:id="366" w:name="_Toc17679"/>
      <w:bookmarkStart w:id="367" w:name="_Toc496324585"/>
      <w:bookmarkStart w:id="368" w:name="_Toc500746972"/>
      <w:bookmarkStart w:id="369" w:name="_Toc177189241"/>
      <w:bookmarkStart w:id="370" w:name="_Toc70687174"/>
      <w:bookmarkStart w:id="371" w:name="_Toc500747195"/>
      <w:bookmarkStart w:id="372" w:name="_Toc499711049"/>
      <w:bookmarkStart w:id="373" w:name="_Toc53722846"/>
      <w:bookmarkStart w:id="374" w:name="_Toc176882548"/>
      <w:bookmarkStart w:id="375" w:name="_Toc499711890"/>
      <w:bookmarkStart w:id="376" w:name="_Toc503063428"/>
      <w:bookmarkStart w:id="377" w:name="_Toc492955421"/>
      <w:bookmarkStart w:id="378" w:name="_Toc389620199"/>
      <w:bookmarkStart w:id="379" w:name="_Toc385992360"/>
      <w:bookmarkStart w:id="380" w:name="_Toc184043047"/>
      <w:bookmarkStart w:id="381" w:name="_Toc177817340"/>
      <w:bookmarkStart w:id="382" w:name="_Toc500747068"/>
      <w:bookmarkStart w:id="383" w:name="_Toc177995479"/>
      <w:r>
        <w:rPr>
          <w:rFonts w:eastAsia="仿宋_GB2312"/>
          <w:color w:val="auto"/>
          <w:sz w:val="30"/>
          <w:szCs w:val="30"/>
          <w:highlight w:val="none"/>
        </w:rPr>
        <w:t>六、确定成交单位、授予合同</w:t>
      </w:r>
      <w:bookmarkEnd w:id="359"/>
      <w:bookmarkEnd w:id="360"/>
      <w:bookmarkEnd w:id="361"/>
      <w:bookmarkEnd w:id="362"/>
      <w:bookmarkEnd w:id="363"/>
      <w:bookmarkEnd w:id="364"/>
      <w:bookmarkEnd w:id="365"/>
      <w:bookmarkEnd w:id="366"/>
    </w:p>
    <w:p>
      <w:pPr>
        <w:rPr>
          <w:rFonts w:eastAsia="仿宋_GB2312"/>
          <w:color w:val="auto"/>
          <w:highlight w:val="none"/>
        </w:rPr>
      </w:pPr>
    </w:p>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Pr>
        <w:pStyle w:val="6"/>
        <w:numPr>
          <w:ilvl w:val="0"/>
          <w:numId w:val="9"/>
        </w:numPr>
        <w:rPr>
          <w:rFonts w:ascii="Times New Roman" w:hAnsi="Times New Roman" w:eastAsia="仿宋_GB2312"/>
          <w:b/>
          <w:bCs/>
          <w:color w:val="auto"/>
          <w:sz w:val="24"/>
          <w:szCs w:val="21"/>
          <w:highlight w:val="none"/>
        </w:rPr>
      </w:pPr>
      <w:bookmarkStart w:id="384" w:name="_Toc385992361"/>
      <w:bookmarkStart w:id="385" w:name="_Toc249515312"/>
      <w:bookmarkStart w:id="386" w:name="_Toc249515424"/>
      <w:bookmarkStart w:id="387" w:name="_Toc184043048"/>
      <w:bookmarkStart w:id="388" w:name="_Toc27151"/>
      <w:bookmarkStart w:id="389" w:name="_Toc70687175"/>
      <w:bookmarkStart w:id="390" w:name="_Toc389620200"/>
      <w:bookmarkStart w:id="391" w:name="_Toc249525193"/>
      <w:r>
        <w:rPr>
          <w:rFonts w:ascii="Times New Roman" w:hAnsi="Times New Roman" w:eastAsia="仿宋_GB2312"/>
          <w:b/>
          <w:bCs/>
          <w:color w:val="auto"/>
          <w:sz w:val="24"/>
          <w:szCs w:val="21"/>
          <w:highlight w:val="none"/>
        </w:rPr>
        <w:t xml:space="preserve">   </w:t>
      </w:r>
      <w:r>
        <w:rPr>
          <w:rFonts w:hint="eastAsia" w:ascii="Times New Roman" w:hAnsi="Times New Roman" w:eastAsia="仿宋_GB2312"/>
          <w:b/>
          <w:bCs/>
          <w:color w:val="auto"/>
          <w:sz w:val="24"/>
          <w:szCs w:val="21"/>
          <w:highlight w:val="none"/>
        </w:rPr>
        <w:t xml:space="preserve"> </w:t>
      </w:r>
      <w:r>
        <w:rPr>
          <w:rFonts w:ascii="Times New Roman" w:hAnsi="Times New Roman" w:eastAsia="仿宋_GB2312"/>
          <w:b/>
          <w:bCs/>
          <w:color w:val="auto"/>
          <w:sz w:val="24"/>
          <w:szCs w:val="21"/>
          <w:highlight w:val="none"/>
        </w:rPr>
        <w:t>确定成交</w:t>
      </w:r>
      <w:bookmarkEnd w:id="384"/>
      <w:bookmarkEnd w:id="385"/>
      <w:bookmarkEnd w:id="386"/>
      <w:bookmarkEnd w:id="387"/>
      <w:bookmarkEnd w:id="388"/>
      <w:bookmarkEnd w:id="389"/>
      <w:bookmarkEnd w:id="390"/>
      <w:bookmarkEnd w:id="391"/>
      <w:r>
        <w:rPr>
          <w:rFonts w:ascii="Times New Roman" w:hAnsi="Times New Roman" w:eastAsia="仿宋_GB2312"/>
          <w:b/>
          <w:bCs/>
          <w:color w:val="auto"/>
          <w:sz w:val="24"/>
          <w:szCs w:val="21"/>
          <w:highlight w:val="none"/>
        </w:rPr>
        <w:t>单位</w:t>
      </w:r>
    </w:p>
    <w:p>
      <w:pPr>
        <w:tabs>
          <w:tab w:val="left" w:pos="588"/>
        </w:tabs>
        <w:spacing w:line="360" w:lineRule="auto"/>
        <w:rPr>
          <w:rFonts w:eastAsia="仿宋_GB2312"/>
          <w:color w:val="auto"/>
          <w:sz w:val="24"/>
          <w:highlight w:val="none"/>
        </w:rPr>
      </w:pPr>
      <w:r>
        <w:rPr>
          <w:rFonts w:eastAsia="仿宋_GB2312"/>
          <w:color w:val="auto"/>
          <w:sz w:val="24"/>
          <w:highlight w:val="none"/>
        </w:rPr>
        <w:t>25.1   采购代理机构应在评审结束后两个工作日内，将评审报告送采购人。</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25.3   采购代理机构在接到采购人的成交复函后，</w:t>
      </w:r>
      <w:r>
        <w:rPr>
          <w:rFonts w:hint="eastAsia" w:eastAsia="仿宋_GB2312"/>
          <w:color w:val="auto"/>
          <w:sz w:val="24"/>
          <w:highlight w:val="none"/>
        </w:rPr>
        <w:t>两个工作日内</w:t>
      </w:r>
      <w:r>
        <w:rPr>
          <w:rFonts w:eastAsia="仿宋_GB2312"/>
          <w:color w:val="auto"/>
          <w:sz w:val="24"/>
          <w:highlight w:val="none"/>
        </w:rPr>
        <w:t>在财政部门指定的政府采购信息发布媒体上公告，公告期限为一个工作日，并向成交供应商发出成交通知书。成交通知书是合同文件的组成部分。</w:t>
      </w:r>
    </w:p>
    <w:p>
      <w:pPr>
        <w:tabs>
          <w:tab w:val="left" w:pos="588"/>
        </w:tabs>
        <w:spacing w:line="360" w:lineRule="auto"/>
        <w:rPr>
          <w:rFonts w:eastAsia="仿宋_GB2312"/>
          <w:color w:val="auto"/>
          <w:sz w:val="24"/>
          <w:highlight w:val="none"/>
        </w:rPr>
      </w:pPr>
      <w:r>
        <w:rPr>
          <w:rFonts w:eastAsia="仿宋_GB2312"/>
          <w:color w:val="auto"/>
          <w:sz w:val="24"/>
          <w:highlight w:val="none"/>
        </w:rPr>
        <w:t>25.4   采购代理机构将评审过程及成交供应商情况书面报监督机构备案。</w:t>
      </w:r>
      <w:bookmarkStart w:id="392" w:name="_Toc385992364"/>
      <w:bookmarkStart w:id="393" w:name="_Toc389620203"/>
    </w:p>
    <w:bookmarkEnd w:id="392"/>
    <w:bookmarkEnd w:id="393"/>
    <w:p>
      <w:pPr>
        <w:pStyle w:val="6"/>
        <w:rPr>
          <w:rFonts w:ascii="Times New Roman" w:hAnsi="Times New Roman" w:eastAsia="仿宋_GB2312"/>
          <w:b/>
          <w:bCs/>
          <w:color w:val="auto"/>
          <w:sz w:val="24"/>
          <w:szCs w:val="21"/>
          <w:highlight w:val="none"/>
        </w:rPr>
      </w:pPr>
      <w:bookmarkStart w:id="394" w:name="_Toc389620204"/>
      <w:bookmarkStart w:id="395" w:name="_Toc385992365"/>
      <w:r>
        <w:rPr>
          <w:rFonts w:ascii="Times New Roman" w:hAnsi="Times New Roman" w:eastAsia="仿宋_GB2312"/>
          <w:b/>
          <w:bCs/>
          <w:color w:val="auto"/>
          <w:sz w:val="24"/>
          <w:szCs w:val="21"/>
          <w:highlight w:val="none"/>
        </w:rPr>
        <w:t>26.    合同</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26.3   成交供应商签订合同后，持合同原件到采购代理机构，或采购代理机构根据陕西省政府采购网合同备案结果办理保证金退还手续。</w:t>
      </w:r>
    </w:p>
    <w:p>
      <w:pPr>
        <w:pStyle w:val="6"/>
        <w:rPr>
          <w:rFonts w:ascii="Times New Roman" w:hAnsi="Times New Roman" w:eastAsia="仿宋_GB2312"/>
          <w:b/>
          <w:bCs/>
          <w:color w:val="auto"/>
          <w:sz w:val="24"/>
          <w:szCs w:val="21"/>
          <w:highlight w:val="none"/>
        </w:rPr>
      </w:pPr>
      <w:r>
        <w:rPr>
          <w:rFonts w:ascii="Times New Roman" w:hAnsi="Times New Roman" w:eastAsia="仿宋_GB2312"/>
          <w:b/>
          <w:bCs/>
          <w:color w:val="auto"/>
          <w:sz w:val="24"/>
          <w:szCs w:val="21"/>
          <w:highlight w:val="none"/>
        </w:rPr>
        <w:t>27.    询问与质疑 </w:t>
      </w:r>
    </w:p>
    <w:p>
      <w:pPr>
        <w:tabs>
          <w:tab w:val="left" w:pos="588"/>
        </w:tabs>
        <w:spacing w:line="360" w:lineRule="auto"/>
        <w:rPr>
          <w:rFonts w:eastAsia="仿宋_GB2312"/>
          <w:color w:val="auto"/>
          <w:sz w:val="24"/>
          <w:highlight w:val="none"/>
        </w:rPr>
      </w:pPr>
      <w:r>
        <w:rPr>
          <w:rFonts w:eastAsia="仿宋_GB2312"/>
          <w:color w:val="auto"/>
          <w:sz w:val="24"/>
          <w:highlight w:val="none"/>
        </w:rPr>
        <w:t>27.1   供应商对政府采购活动事项有疑问的，可以向采购人提出询问。</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eastAsia="仿宋_GB2312"/>
          <w:color w:val="auto"/>
          <w:sz w:val="24"/>
          <w:highlight w:val="none"/>
        </w:rPr>
      </w:pPr>
      <w:r>
        <w:rPr>
          <w:rFonts w:eastAsia="仿宋_GB2312"/>
          <w:color w:val="auto"/>
          <w:sz w:val="24"/>
          <w:highlight w:val="none"/>
        </w:rPr>
        <w:t>27.3   质疑供应商在法定质疑期内须一次性提出针对同一采购程序环节的质疑。</w:t>
      </w:r>
    </w:p>
    <w:p>
      <w:pPr>
        <w:tabs>
          <w:tab w:val="left" w:pos="588"/>
        </w:tabs>
        <w:spacing w:line="360" w:lineRule="auto"/>
        <w:rPr>
          <w:rFonts w:eastAsia="仿宋_GB2312"/>
          <w:color w:val="auto"/>
          <w:sz w:val="24"/>
          <w:highlight w:val="none"/>
        </w:rPr>
      </w:pPr>
      <w:r>
        <w:rPr>
          <w:rFonts w:eastAsia="仿宋_GB2312"/>
          <w:color w:val="auto"/>
          <w:sz w:val="24"/>
          <w:highlight w:val="none"/>
        </w:rPr>
        <w:t>27.4   供应商提出质疑应当提交质疑函和必要的证明材料。质疑函应当包括下列内容：</w:t>
      </w:r>
    </w:p>
    <w:p>
      <w:pPr>
        <w:pStyle w:val="71"/>
        <w:numPr>
          <w:ilvl w:val="0"/>
          <w:numId w:val="10"/>
        </w:numPr>
        <w:tabs>
          <w:tab w:val="left" w:pos="588"/>
        </w:tabs>
        <w:spacing w:line="360" w:lineRule="auto"/>
        <w:ind w:left="846" w:hanging="6" w:firstLineChars="0"/>
        <w:jc w:val="left"/>
        <w:rPr>
          <w:rFonts w:ascii="Times New Roman" w:hAnsi="Times New Roman" w:eastAsia="仿宋_GB2312"/>
          <w:color w:val="auto"/>
          <w:sz w:val="24"/>
          <w:highlight w:val="none"/>
        </w:rPr>
      </w:pPr>
      <w:r>
        <w:rPr>
          <w:rFonts w:ascii="Times New Roman" w:hAnsi="Times New Roman" w:eastAsia="仿宋_GB2312"/>
          <w:color w:val="auto"/>
          <w:sz w:val="24"/>
          <w:highlight w:val="none"/>
        </w:rPr>
        <w:t>供应商的姓名或者名称、地址、邮编、联系人及联系电话；</w:t>
      </w:r>
    </w:p>
    <w:p>
      <w:pPr>
        <w:pStyle w:val="71"/>
        <w:numPr>
          <w:ilvl w:val="0"/>
          <w:numId w:val="10"/>
        </w:numPr>
        <w:tabs>
          <w:tab w:val="left" w:pos="588"/>
        </w:tabs>
        <w:spacing w:line="360" w:lineRule="auto"/>
        <w:ind w:left="846" w:hanging="6" w:firstLineChars="0"/>
        <w:jc w:val="left"/>
        <w:rPr>
          <w:rFonts w:ascii="Times New Roman" w:hAnsi="Times New Roman" w:eastAsia="仿宋_GB2312"/>
          <w:color w:val="auto"/>
          <w:sz w:val="24"/>
          <w:highlight w:val="none"/>
        </w:rPr>
      </w:pPr>
      <w:r>
        <w:rPr>
          <w:rFonts w:ascii="Times New Roman" w:hAnsi="Times New Roman" w:eastAsia="仿宋_GB2312"/>
          <w:color w:val="auto"/>
          <w:sz w:val="24"/>
          <w:highlight w:val="none"/>
        </w:rPr>
        <w:t>质疑项目的名称、编号；</w:t>
      </w:r>
    </w:p>
    <w:p>
      <w:pPr>
        <w:pStyle w:val="71"/>
        <w:numPr>
          <w:ilvl w:val="0"/>
          <w:numId w:val="10"/>
        </w:numPr>
        <w:tabs>
          <w:tab w:val="left" w:pos="588"/>
        </w:tabs>
        <w:spacing w:line="360" w:lineRule="auto"/>
        <w:ind w:left="846" w:hanging="6" w:firstLineChars="0"/>
        <w:jc w:val="left"/>
        <w:rPr>
          <w:rFonts w:ascii="Times New Roman" w:hAnsi="Times New Roman" w:eastAsia="仿宋_GB2312"/>
          <w:color w:val="auto"/>
          <w:sz w:val="24"/>
          <w:highlight w:val="none"/>
        </w:rPr>
      </w:pPr>
      <w:r>
        <w:rPr>
          <w:rFonts w:ascii="Times New Roman" w:hAnsi="Times New Roman" w:eastAsia="仿宋_GB2312"/>
          <w:color w:val="auto"/>
          <w:sz w:val="24"/>
          <w:highlight w:val="none"/>
        </w:rPr>
        <w:t>具体、明确的质疑事项和与质疑事项相关的请求；</w:t>
      </w:r>
    </w:p>
    <w:p>
      <w:pPr>
        <w:pStyle w:val="71"/>
        <w:numPr>
          <w:ilvl w:val="0"/>
          <w:numId w:val="10"/>
        </w:numPr>
        <w:tabs>
          <w:tab w:val="left" w:pos="588"/>
        </w:tabs>
        <w:spacing w:line="360" w:lineRule="auto"/>
        <w:ind w:left="846" w:hanging="6" w:firstLineChars="0"/>
        <w:jc w:val="left"/>
        <w:rPr>
          <w:rFonts w:ascii="Times New Roman" w:hAnsi="Times New Roman" w:eastAsia="仿宋_GB2312"/>
          <w:color w:val="auto"/>
          <w:sz w:val="24"/>
          <w:highlight w:val="none"/>
        </w:rPr>
      </w:pPr>
      <w:r>
        <w:rPr>
          <w:rFonts w:ascii="Times New Roman" w:hAnsi="Times New Roman" w:eastAsia="仿宋_GB2312"/>
          <w:color w:val="auto"/>
          <w:sz w:val="24"/>
          <w:highlight w:val="none"/>
        </w:rPr>
        <w:t>事实依据；</w:t>
      </w:r>
    </w:p>
    <w:p>
      <w:pPr>
        <w:pStyle w:val="71"/>
        <w:numPr>
          <w:ilvl w:val="0"/>
          <w:numId w:val="10"/>
        </w:numPr>
        <w:tabs>
          <w:tab w:val="left" w:pos="588"/>
        </w:tabs>
        <w:spacing w:line="360" w:lineRule="auto"/>
        <w:ind w:left="846" w:hanging="6" w:firstLineChars="0"/>
        <w:jc w:val="left"/>
        <w:rPr>
          <w:rFonts w:ascii="Times New Roman" w:hAnsi="Times New Roman" w:eastAsia="仿宋_GB2312"/>
          <w:color w:val="auto"/>
          <w:sz w:val="24"/>
          <w:highlight w:val="none"/>
        </w:rPr>
      </w:pPr>
      <w:r>
        <w:rPr>
          <w:rFonts w:ascii="Times New Roman" w:hAnsi="Times New Roman" w:eastAsia="仿宋_GB2312"/>
          <w:color w:val="auto"/>
          <w:sz w:val="24"/>
          <w:highlight w:val="none"/>
        </w:rPr>
        <w:t>必要的法律依据；</w:t>
      </w:r>
    </w:p>
    <w:p>
      <w:pPr>
        <w:pStyle w:val="71"/>
        <w:numPr>
          <w:ilvl w:val="0"/>
          <w:numId w:val="10"/>
        </w:numPr>
        <w:tabs>
          <w:tab w:val="left" w:pos="588"/>
        </w:tabs>
        <w:spacing w:line="360" w:lineRule="auto"/>
        <w:ind w:left="846" w:hanging="6" w:firstLineChars="0"/>
        <w:jc w:val="left"/>
        <w:rPr>
          <w:rFonts w:ascii="Times New Roman" w:hAnsi="Times New Roman" w:eastAsia="仿宋_GB2312"/>
          <w:color w:val="auto"/>
          <w:sz w:val="24"/>
          <w:highlight w:val="none"/>
        </w:rPr>
      </w:pPr>
      <w:r>
        <w:rPr>
          <w:rFonts w:ascii="Times New Roman" w:hAnsi="Times New Roman" w:eastAsia="仿宋_GB2312"/>
          <w:color w:val="auto"/>
          <w:sz w:val="24"/>
          <w:highlight w:val="none"/>
        </w:rPr>
        <w:t>提出质疑的日期。</w:t>
      </w:r>
    </w:p>
    <w:p>
      <w:pPr>
        <w:pStyle w:val="71"/>
        <w:tabs>
          <w:tab w:val="left" w:pos="588"/>
        </w:tabs>
        <w:spacing w:line="360" w:lineRule="auto"/>
        <w:ind w:left="838" w:leftChars="399" w:firstLine="0" w:firstLineChars="0"/>
        <w:rPr>
          <w:rFonts w:ascii="Times New Roman" w:hAnsi="Times New Roman" w:eastAsia="仿宋_GB2312"/>
          <w:color w:val="auto"/>
          <w:sz w:val="24"/>
          <w:highlight w:val="none"/>
        </w:rPr>
      </w:pPr>
      <w:r>
        <w:rPr>
          <w:rFonts w:ascii="Times New Roman" w:hAnsi="Times New Roman" w:eastAsia="仿宋_GB2312"/>
          <w:color w:val="auto"/>
          <w:sz w:val="24"/>
          <w:highlight w:val="none"/>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eastAsia="仿宋_GB2312"/>
          <w:color w:val="auto"/>
          <w:sz w:val="24"/>
          <w:highlight w:val="none"/>
        </w:rPr>
      </w:pPr>
      <w:r>
        <w:rPr>
          <w:rFonts w:eastAsia="仿宋_GB2312"/>
          <w:color w:val="auto"/>
          <w:sz w:val="24"/>
          <w:highlight w:val="none"/>
        </w:rPr>
        <w:t>27.5   符合要求的质疑，采购代理机构将予以受理并答复。</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联系人：</w:t>
      </w:r>
      <w:r>
        <w:rPr>
          <w:rFonts w:hint="eastAsia" w:eastAsia="仿宋_GB2312"/>
          <w:color w:val="auto"/>
          <w:sz w:val="24"/>
          <w:highlight w:val="none"/>
        </w:rPr>
        <w:t>综合办公室</w:t>
      </w:r>
      <w:r>
        <w:rPr>
          <w:rFonts w:eastAsia="仿宋_GB2312"/>
          <w:color w:val="auto"/>
          <w:sz w:val="24"/>
          <w:highlight w:val="none"/>
        </w:rPr>
        <w:t>，联系电话：029-85235014</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27.6   供应商进行虚假和恶意质疑的，采购代理机构将提供相关资料报监督机构，按其情况进行相应处理。</w:t>
      </w:r>
    </w:p>
    <w:bookmarkEnd w:id="394"/>
    <w:bookmarkEnd w:id="395"/>
    <w:p>
      <w:pPr>
        <w:pStyle w:val="6"/>
        <w:rPr>
          <w:rFonts w:ascii="Times New Roman" w:hAnsi="Times New Roman" w:eastAsia="仿宋_GB2312"/>
          <w:b/>
          <w:bCs/>
          <w:color w:val="auto"/>
          <w:sz w:val="24"/>
          <w:szCs w:val="21"/>
          <w:highlight w:val="none"/>
        </w:rPr>
      </w:pPr>
      <w:bookmarkStart w:id="396" w:name="_Toc25547"/>
      <w:r>
        <w:rPr>
          <w:rFonts w:ascii="Times New Roman" w:hAnsi="Times New Roman" w:eastAsia="仿宋_GB2312"/>
          <w:b/>
          <w:bCs/>
          <w:color w:val="auto"/>
          <w:sz w:val="24"/>
          <w:szCs w:val="21"/>
          <w:highlight w:val="none"/>
        </w:rPr>
        <w:t>28.    履约保证金</w:t>
      </w:r>
    </w:p>
    <w:p>
      <w:pPr>
        <w:tabs>
          <w:tab w:val="left" w:pos="588"/>
        </w:tabs>
        <w:spacing w:line="360" w:lineRule="auto"/>
        <w:rPr>
          <w:rFonts w:eastAsia="仿宋_GB2312"/>
          <w:color w:val="auto"/>
          <w:sz w:val="24"/>
          <w:highlight w:val="none"/>
        </w:rPr>
      </w:pPr>
      <w:r>
        <w:rPr>
          <w:rFonts w:eastAsia="仿宋_GB2312"/>
          <w:color w:val="auto"/>
          <w:sz w:val="24"/>
          <w:highlight w:val="none"/>
        </w:rPr>
        <w:t>28.1   履约保证金金额见</w:t>
      </w:r>
      <w:r>
        <w:rPr>
          <w:rFonts w:eastAsia="仿宋_GB2312"/>
          <w:b/>
          <w:color w:val="auto"/>
          <w:sz w:val="24"/>
          <w:highlight w:val="none"/>
        </w:rPr>
        <w:t>供应商须知前附表</w:t>
      </w:r>
      <w:r>
        <w:rPr>
          <w:rFonts w:eastAsia="仿宋_GB2312"/>
          <w:color w:val="auto"/>
          <w:sz w:val="24"/>
          <w:highlight w:val="none"/>
        </w:rPr>
        <w:t>。</w:t>
      </w:r>
    </w:p>
    <w:p>
      <w:pPr>
        <w:tabs>
          <w:tab w:val="left" w:pos="588"/>
        </w:tabs>
        <w:spacing w:line="360" w:lineRule="auto"/>
        <w:rPr>
          <w:rFonts w:eastAsia="仿宋_GB2312"/>
          <w:color w:val="auto"/>
          <w:sz w:val="24"/>
          <w:highlight w:val="none"/>
        </w:rPr>
      </w:pPr>
      <w:r>
        <w:rPr>
          <w:rFonts w:eastAsia="仿宋_GB2312"/>
          <w:color w:val="auto"/>
          <w:sz w:val="24"/>
          <w:highlight w:val="none"/>
        </w:rPr>
        <w:t>28.2   履约保证金缴纳时间：合同签订前必须交纳至（采购人）。</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28.3   履约保证金缴纳形式：成交供应商应当以支票、汇票、本票、保函（格式见附件2）等非现金形式缴纳。</w:t>
      </w:r>
    </w:p>
    <w:p>
      <w:pPr>
        <w:tabs>
          <w:tab w:val="left" w:pos="588"/>
        </w:tabs>
        <w:spacing w:line="360" w:lineRule="auto"/>
        <w:rPr>
          <w:rFonts w:eastAsia="仿宋_GB2312"/>
          <w:color w:val="auto"/>
          <w:sz w:val="24"/>
          <w:highlight w:val="none"/>
        </w:rPr>
      </w:pPr>
      <w:r>
        <w:rPr>
          <w:rFonts w:eastAsia="仿宋_GB2312"/>
          <w:color w:val="auto"/>
          <w:sz w:val="24"/>
          <w:highlight w:val="none"/>
        </w:rPr>
        <w:t>28.4   履约保证金收取单位名称：</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开户银行：</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账号：</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联系人：               联系电话：</w:t>
      </w:r>
    </w:p>
    <w:p>
      <w:pPr>
        <w:tabs>
          <w:tab w:val="left" w:pos="588"/>
        </w:tabs>
        <w:spacing w:line="360" w:lineRule="auto"/>
        <w:rPr>
          <w:rFonts w:eastAsia="仿宋_GB2312"/>
          <w:color w:val="auto"/>
          <w:sz w:val="24"/>
          <w:highlight w:val="none"/>
        </w:rPr>
      </w:pPr>
      <w:r>
        <w:rPr>
          <w:rFonts w:eastAsia="仿宋_GB2312"/>
          <w:color w:val="auto"/>
          <w:sz w:val="24"/>
          <w:highlight w:val="none"/>
        </w:rPr>
        <w:t>28.5   履约保证金退还的方式、时间、条件：*****</w:t>
      </w:r>
    </w:p>
    <w:p>
      <w:pPr>
        <w:tabs>
          <w:tab w:val="left" w:pos="588"/>
        </w:tabs>
        <w:spacing w:line="360" w:lineRule="auto"/>
        <w:rPr>
          <w:rFonts w:eastAsia="仿宋_GB2312"/>
          <w:color w:val="auto"/>
          <w:sz w:val="24"/>
          <w:highlight w:val="none"/>
        </w:rPr>
      </w:pPr>
      <w:r>
        <w:rPr>
          <w:rFonts w:eastAsia="仿宋_GB2312"/>
          <w:color w:val="auto"/>
          <w:sz w:val="24"/>
          <w:highlight w:val="none"/>
        </w:rPr>
        <w:t>28.6   履约保证金不予退还的情况：****</w:t>
      </w:r>
    </w:p>
    <w:p>
      <w:pPr>
        <w:tabs>
          <w:tab w:val="left" w:pos="588"/>
        </w:tabs>
        <w:spacing w:line="360" w:lineRule="auto"/>
        <w:rPr>
          <w:rFonts w:eastAsia="仿宋_GB2312"/>
          <w:color w:val="auto"/>
          <w:sz w:val="24"/>
          <w:highlight w:val="none"/>
        </w:rPr>
      </w:pPr>
      <w:r>
        <w:rPr>
          <w:rFonts w:eastAsia="仿宋_GB2312"/>
          <w:color w:val="auto"/>
          <w:sz w:val="24"/>
          <w:highlight w:val="none"/>
        </w:rPr>
        <w:t>28.7   逾期退还履约保证金的违约责任：****</w:t>
      </w:r>
    </w:p>
    <w:p>
      <w:pPr>
        <w:pStyle w:val="6"/>
        <w:rPr>
          <w:rFonts w:ascii="Times New Roman" w:hAnsi="Times New Roman" w:eastAsia="仿宋_GB2312"/>
          <w:b/>
          <w:bCs/>
          <w:color w:val="auto"/>
          <w:sz w:val="24"/>
          <w:szCs w:val="21"/>
          <w:highlight w:val="none"/>
        </w:rPr>
      </w:pPr>
      <w:r>
        <w:rPr>
          <w:rFonts w:ascii="Times New Roman" w:hAnsi="Times New Roman" w:eastAsia="仿宋_GB2312"/>
          <w:b/>
          <w:bCs/>
          <w:color w:val="auto"/>
          <w:sz w:val="24"/>
          <w:szCs w:val="21"/>
          <w:highlight w:val="none"/>
        </w:rPr>
        <w:t>29.    成交服务费</w:t>
      </w:r>
      <w:bookmarkEnd w:id="396"/>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29.1   成交供应商在领取成交通知书前，须向采购代理机构支付成交服务费，服务费由采购人与采购代理机构约定：</w:t>
      </w:r>
    </w:p>
    <w:p>
      <w:pPr>
        <w:snapToGrid w:val="0"/>
        <w:spacing w:line="360" w:lineRule="auto"/>
        <w:ind w:left="840" w:leftChars="400"/>
        <w:rPr>
          <w:rFonts w:eastAsia="仿宋_GB2312"/>
          <w:color w:val="auto"/>
          <w:sz w:val="24"/>
          <w:highlight w:val="none"/>
        </w:rPr>
      </w:pPr>
      <w:r>
        <w:rPr>
          <w:rFonts w:hint="eastAsia" w:ascii="仿宋_GB2312" w:hAnsi="华文仿宋" w:eastAsia="仿宋_GB2312"/>
          <w:bCs/>
          <w:color w:val="auto"/>
          <w:sz w:val="24"/>
          <w:highlight w:val="none"/>
        </w:rPr>
        <w:t>参照国家计委计价格〔2002〕1980号文收取，按此标准收费不足6000元的，以定额6000元收取。</w:t>
      </w:r>
    </w:p>
    <w:p>
      <w:pPr>
        <w:snapToGrid w:val="0"/>
        <w:spacing w:line="360" w:lineRule="auto"/>
        <w:rPr>
          <w:rFonts w:eastAsia="仿宋_GB2312"/>
          <w:color w:val="auto"/>
          <w:sz w:val="24"/>
          <w:highlight w:val="none"/>
        </w:rPr>
      </w:pPr>
      <w:r>
        <w:rPr>
          <w:rFonts w:eastAsia="仿宋_GB2312"/>
          <w:color w:val="auto"/>
          <w:sz w:val="24"/>
          <w:highlight w:val="none"/>
        </w:rPr>
        <w:t>29.2   成交单位的代理服务费交纳信息</w:t>
      </w:r>
    </w:p>
    <w:p>
      <w:pPr>
        <w:snapToGrid w:val="0"/>
        <w:spacing w:line="360" w:lineRule="auto"/>
        <w:ind w:firstLine="840" w:firstLineChars="350"/>
        <w:rPr>
          <w:rFonts w:eastAsia="仿宋_GB2312"/>
          <w:color w:val="auto"/>
          <w:sz w:val="24"/>
          <w:highlight w:val="none"/>
        </w:rPr>
      </w:pPr>
      <w:r>
        <w:rPr>
          <w:rFonts w:eastAsia="仿宋_GB2312"/>
          <w:color w:val="auto"/>
          <w:sz w:val="24"/>
          <w:highlight w:val="none"/>
        </w:rPr>
        <w:t>银行户名：陕西省采购招标有限责任公司</w:t>
      </w:r>
    </w:p>
    <w:p>
      <w:pPr>
        <w:snapToGrid w:val="0"/>
        <w:spacing w:line="360" w:lineRule="auto"/>
        <w:ind w:firstLine="840" w:firstLineChars="350"/>
        <w:rPr>
          <w:rFonts w:eastAsia="仿宋_GB2312"/>
          <w:color w:val="auto"/>
          <w:sz w:val="24"/>
          <w:highlight w:val="none"/>
        </w:rPr>
      </w:pPr>
      <w:r>
        <w:rPr>
          <w:rFonts w:eastAsia="仿宋_GB2312"/>
          <w:color w:val="auto"/>
          <w:sz w:val="24"/>
          <w:highlight w:val="none"/>
        </w:rPr>
        <w:t>开户银行：中国光大银行西安友谊路支行</w:t>
      </w:r>
    </w:p>
    <w:p>
      <w:pPr>
        <w:snapToGrid w:val="0"/>
        <w:spacing w:line="360" w:lineRule="auto"/>
        <w:ind w:firstLine="840" w:firstLineChars="350"/>
        <w:rPr>
          <w:rFonts w:eastAsia="仿宋_GB2312"/>
          <w:color w:val="auto"/>
          <w:sz w:val="24"/>
          <w:highlight w:val="none"/>
        </w:rPr>
      </w:pPr>
      <w:r>
        <w:rPr>
          <w:rFonts w:eastAsia="仿宋_GB2312"/>
          <w:color w:val="auto"/>
          <w:sz w:val="24"/>
          <w:highlight w:val="none"/>
        </w:rPr>
        <w:t>账    号：78560188000095264</w:t>
      </w:r>
    </w:p>
    <w:p>
      <w:pPr>
        <w:snapToGrid w:val="0"/>
        <w:spacing w:line="360" w:lineRule="auto"/>
        <w:ind w:firstLine="840" w:firstLineChars="350"/>
        <w:rPr>
          <w:rFonts w:eastAsia="仿宋_GB2312"/>
          <w:color w:val="auto"/>
          <w:sz w:val="24"/>
          <w:highlight w:val="none"/>
        </w:rPr>
      </w:pPr>
      <w:r>
        <w:rPr>
          <w:rFonts w:eastAsia="仿宋_GB2312"/>
          <w:color w:val="auto"/>
          <w:sz w:val="24"/>
          <w:highlight w:val="none"/>
        </w:rPr>
        <w:t>联 系 人：</w:t>
      </w:r>
      <w:r>
        <w:rPr>
          <w:rFonts w:hint="eastAsia" w:eastAsia="仿宋_GB2312"/>
          <w:color w:val="auto"/>
          <w:sz w:val="24"/>
          <w:highlight w:val="none"/>
        </w:rPr>
        <w:t>财务部</w:t>
      </w:r>
      <w:r>
        <w:rPr>
          <w:rFonts w:eastAsia="仿宋_GB2312"/>
          <w:color w:val="auto"/>
          <w:sz w:val="24"/>
          <w:highlight w:val="none"/>
        </w:rPr>
        <w:t xml:space="preserve">   联系电话：029-85263975</w:t>
      </w:r>
    </w:p>
    <w:p>
      <w:pPr>
        <w:snapToGrid w:val="0"/>
        <w:spacing w:line="360" w:lineRule="auto"/>
        <w:rPr>
          <w:rFonts w:eastAsia="仿宋_GB2312"/>
          <w:color w:val="auto"/>
          <w:sz w:val="24"/>
          <w:highlight w:val="none"/>
        </w:rPr>
      </w:pPr>
      <w:r>
        <w:rPr>
          <w:rFonts w:hint="eastAsia" w:eastAsia="仿宋_GB2312"/>
          <w:color w:val="auto"/>
          <w:sz w:val="24"/>
          <w:highlight w:val="none"/>
        </w:rPr>
        <w:t>29.3    成交服务费已包含在供应商的响应报价中，不在响应分项报价表中单独列项。</w:t>
      </w:r>
    </w:p>
    <w:p>
      <w:pPr>
        <w:pStyle w:val="6"/>
        <w:numPr>
          <w:ilvl w:val="0"/>
          <w:numId w:val="11"/>
        </w:numPr>
        <w:rPr>
          <w:rFonts w:ascii="Times New Roman" w:hAnsi="Times New Roman" w:eastAsia="仿宋_GB2312"/>
          <w:b/>
          <w:bCs/>
          <w:color w:val="auto"/>
          <w:sz w:val="24"/>
          <w:szCs w:val="21"/>
          <w:highlight w:val="none"/>
        </w:rPr>
      </w:pPr>
      <w:bookmarkStart w:id="397" w:name="_Toc1585"/>
      <w:r>
        <w:rPr>
          <w:rFonts w:ascii="Times New Roman" w:hAnsi="Times New Roman" w:eastAsia="仿宋_GB2312"/>
          <w:b/>
          <w:bCs/>
          <w:color w:val="auto"/>
          <w:sz w:val="24"/>
          <w:szCs w:val="21"/>
          <w:highlight w:val="none"/>
        </w:rPr>
        <w:t xml:space="preserve">  </w:t>
      </w:r>
      <w:r>
        <w:rPr>
          <w:rFonts w:hint="eastAsia" w:ascii="Times New Roman" w:hAnsi="Times New Roman" w:eastAsia="仿宋_GB2312"/>
          <w:b/>
          <w:bCs/>
          <w:color w:val="auto"/>
          <w:sz w:val="24"/>
          <w:szCs w:val="21"/>
          <w:highlight w:val="none"/>
        </w:rPr>
        <w:t xml:space="preserve"> </w:t>
      </w:r>
      <w:r>
        <w:rPr>
          <w:rFonts w:ascii="Times New Roman" w:hAnsi="Times New Roman" w:eastAsia="仿宋_GB2312"/>
          <w:b/>
          <w:bCs/>
          <w:color w:val="auto"/>
          <w:sz w:val="24"/>
          <w:szCs w:val="21"/>
          <w:highlight w:val="none"/>
        </w:rPr>
        <w:t>采购人追加采购数量的权力</w:t>
      </w:r>
      <w:bookmarkEnd w:id="397"/>
    </w:p>
    <w:p>
      <w:pPr>
        <w:tabs>
          <w:tab w:val="left" w:pos="588"/>
        </w:tabs>
        <w:spacing w:line="360" w:lineRule="auto"/>
        <w:ind w:left="840" w:leftChars="400"/>
        <w:rPr>
          <w:rFonts w:eastAsia="仿宋_GB2312"/>
          <w:color w:val="auto"/>
          <w:sz w:val="24"/>
          <w:highlight w:val="none"/>
        </w:rPr>
      </w:pPr>
      <w:bookmarkStart w:id="398" w:name="_Toc385992366"/>
      <w:bookmarkStart w:id="399" w:name="_Toc389620205"/>
      <w:r>
        <w:rPr>
          <w:rFonts w:eastAsia="仿宋_GB2312"/>
          <w:color w:val="auto"/>
          <w:sz w:val="24"/>
          <w:highlight w:val="none"/>
        </w:rPr>
        <w:t>在合同履行中，采购人需追加与合同标的相同服务的，在不改变合同其他条款的前提下，采购人有权与成交供应商协商签订补充合同，但所有补充合同的采购金额不得超过原合同采购金额的10%。</w:t>
      </w:r>
    </w:p>
    <w:p>
      <w:pPr>
        <w:pStyle w:val="6"/>
        <w:numPr>
          <w:ilvl w:val="0"/>
          <w:numId w:val="11"/>
        </w:numPr>
        <w:rPr>
          <w:rFonts w:ascii="Times New Roman" w:hAnsi="Times New Roman" w:eastAsia="仿宋_GB2312"/>
          <w:b/>
          <w:bCs/>
          <w:color w:val="auto"/>
          <w:sz w:val="24"/>
          <w:szCs w:val="21"/>
          <w:highlight w:val="none"/>
        </w:rPr>
      </w:pPr>
      <w:r>
        <w:rPr>
          <w:rFonts w:ascii="Times New Roman" w:hAnsi="Times New Roman" w:eastAsia="仿宋_GB2312"/>
          <w:b/>
          <w:bCs/>
          <w:color w:val="auto"/>
          <w:sz w:val="24"/>
          <w:szCs w:val="21"/>
          <w:highlight w:val="none"/>
        </w:rPr>
        <w:t xml:space="preserve">   其他情况</w:t>
      </w:r>
    </w:p>
    <w:p>
      <w:pPr>
        <w:pStyle w:val="25"/>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5"/>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31.2   连续两次进行竞争性磋商活动，因符合磋商要求供应商不足3家，经请示政府采购管理部门同意后，可继续进行竞争性磋商活动。</w:t>
      </w:r>
    </w:p>
    <w:p>
      <w:pPr>
        <w:pStyle w:val="6"/>
        <w:numPr>
          <w:ilvl w:val="0"/>
          <w:numId w:val="11"/>
        </w:numPr>
        <w:rPr>
          <w:rFonts w:ascii="Times New Roman" w:hAnsi="Times New Roman" w:eastAsia="仿宋_GB2312"/>
          <w:b/>
          <w:bCs/>
          <w:color w:val="auto"/>
          <w:sz w:val="24"/>
          <w:szCs w:val="21"/>
          <w:highlight w:val="none"/>
        </w:rPr>
      </w:pPr>
      <w:r>
        <w:rPr>
          <w:rFonts w:ascii="Times New Roman" w:hAnsi="Times New Roman" w:eastAsia="仿宋_GB2312"/>
          <w:b/>
          <w:bCs/>
          <w:color w:val="auto"/>
          <w:sz w:val="24"/>
          <w:szCs w:val="21"/>
          <w:highlight w:val="none"/>
        </w:rPr>
        <w:t xml:space="preserve">   政府采购信用担保及融资</w:t>
      </w:r>
    </w:p>
    <w:p>
      <w:pPr>
        <w:pStyle w:val="25"/>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32.</w:t>
      </w:r>
      <w:r>
        <w:rPr>
          <w:rFonts w:hint="eastAsia" w:ascii="Times New Roman" w:hAnsi="Times New Roman" w:eastAsia="仿宋_GB2312"/>
          <w:color w:val="auto"/>
          <w:sz w:val="24"/>
          <w:highlight w:val="none"/>
        </w:rPr>
        <w:t>1</w:t>
      </w:r>
      <w:r>
        <w:rPr>
          <w:rFonts w:ascii="Times New Roman" w:hAnsi="Times New Roman" w:eastAsia="仿宋_GB2312"/>
          <w:color w:val="auto"/>
          <w:sz w:val="24"/>
          <w:highlight w:val="none"/>
        </w:rPr>
        <w:t xml:space="preserve">   供应商递交的履约担保函应符合本磋商文件的规定。</w:t>
      </w:r>
    </w:p>
    <w:p>
      <w:pPr>
        <w:spacing w:line="360" w:lineRule="auto"/>
        <w:ind w:left="850" w:hanging="849" w:hangingChars="354"/>
        <w:rPr>
          <w:rFonts w:eastAsia="仿宋_GB2312"/>
          <w:color w:val="auto"/>
          <w:sz w:val="24"/>
          <w:highlight w:val="none"/>
        </w:rPr>
      </w:pPr>
      <w:r>
        <w:rPr>
          <w:rFonts w:eastAsia="仿宋_GB2312"/>
          <w:color w:val="auto"/>
          <w:sz w:val="24"/>
          <w:highlight w:val="none"/>
        </w:rPr>
        <w:t>32.</w:t>
      </w:r>
      <w:r>
        <w:rPr>
          <w:rFonts w:hint="eastAsia" w:eastAsia="仿宋_GB2312"/>
          <w:color w:val="auto"/>
          <w:sz w:val="24"/>
          <w:highlight w:val="none"/>
        </w:rPr>
        <w:t>2</w:t>
      </w:r>
      <w:r>
        <w:rPr>
          <w:rFonts w:eastAsia="仿宋_GB2312"/>
          <w:color w:val="auto"/>
          <w:sz w:val="24"/>
          <w:highlight w:val="none"/>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eastAsia="仿宋_GB2312"/>
          <w:color w:val="auto"/>
          <w:sz w:val="24"/>
          <w:highlight w:val="none"/>
        </w:rPr>
        <w:t>（http：//www.ccgp-shaanxi.gov.cn/zcdservice/zcd/shanxi/）</w:t>
      </w:r>
      <w:r>
        <w:rPr>
          <w:rFonts w:eastAsia="仿宋_GB2312"/>
          <w:color w:val="auto"/>
          <w:sz w:val="24"/>
          <w:highlight w:val="none"/>
        </w:rPr>
        <w:t>”了解详情。</w:t>
      </w:r>
    </w:p>
    <w:p>
      <w:pPr>
        <w:pStyle w:val="25"/>
        <w:tabs>
          <w:tab w:val="left" w:pos="567"/>
        </w:tabs>
        <w:ind w:left="840" w:leftChars="400"/>
        <w:rPr>
          <w:rFonts w:ascii="Times New Roman" w:hAnsi="Times New Roman" w:eastAsia="仿宋_GB2312"/>
          <w:color w:val="auto"/>
          <w:sz w:val="24"/>
          <w:highlight w:val="none"/>
        </w:rPr>
      </w:pPr>
      <w:r>
        <w:rPr>
          <w:rFonts w:hint="eastAsia" w:ascii="Times New Roman" w:hAnsi="Times New Roman" w:eastAsia="仿宋_GB2312"/>
          <w:color w:val="auto"/>
          <w:sz w:val="24"/>
          <w:highlight w:val="none"/>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5"/>
        <w:tabs>
          <w:tab w:val="left" w:pos="567"/>
        </w:tabs>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5"/>
        <w:tabs>
          <w:tab w:val="left" w:pos="567"/>
        </w:tabs>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5"/>
        <w:tabs>
          <w:tab w:val="left" w:pos="567"/>
        </w:tabs>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5"/>
        <w:tabs>
          <w:tab w:val="left" w:pos="567"/>
        </w:tabs>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5"/>
        <w:tabs>
          <w:tab w:val="left" w:pos="567"/>
        </w:tabs>
        <w:ind w:left="840" w:leftChars="400"/>
        <w:rPr>
          <w:rFonts w:ascii="Times New Roman" w:hAnsi="Times New Roman" w:eastAsia="仿宋_GB2312"/>
          <w:color w:val="auto"/>
          <w:sz w:val="24"/>
          <w:highlight w:val="none"/>
        </w:rPr>
      </w:pPr>
      <w:r>
        <w:rPr>
          <w:rFonts w:hint="eastAsia" w:ascii="Times New Roman" w:hAnsi="Times New Roman" w:eastAsia="仿宋_GB2312"/>
          <w:color w:val="auto"/>
          <w:sz w:val="24"/>
          <w:highlight w:val="none"/>
        </w:rPr>
        <w:t>业务流程简图如下：</w:t>
      </w:r>
    </w:p>
    <w:p>
      <w:pPr>
        <w:pStyle w:val="25"/>
        <w:tabs>
          <w:tab w:val="left" w:pos="567"/>
        </w:tabs>
        <w:rPr>
          <w:color w:val="auto"/>
          <w:highlight w:val="none"/>
        </w:rPr>
      </w:pPr>
      <w:r>
        <w:rPr>
          <w:color w:val="auto"/>
          <w:highlight w:val="none"/>
        </w:rPr>
        <w:drawing>
          <wp:inline distT="0" distB="0" distL="114300" distR="114300">
            <wp:extent cx="5756275" cy="3310255"/>
            <wp:effectExtent l="0" t="0" r="1587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tretch>
                      <a:fillRect/>
                    </a:stretch>
                  </pic:blipFill>
                  <pic:spPr>
                    <a:xfrm>
                      <a:off x="0" y="0"/>
                      <a:ext cx="5756275" cy="3310255"/>
                    </a:xfrm>
                    <a:prstGeom prst="rect">
                      <a:avLst/>
                    </a:prstGeom>
                    <a:noFill/>
                    <a:ln>
                      <a:noFill/>
                    </a:ln>
                  </pic:spPr>
                </pic:pic>
              </a:graphicData>
            </a:graphic>
          </wp:inline>
        </w:drawing>
      </w:r>
    </w:p>
    <w:p>
      <w:pPr>
        <w:pStyle w:val="25"/>
        <w:ind w:left="735" w:hanging="735" w:hangingChars="350"/>
        <w:jc w:val="center"/>
        <w:rPr>
          <w:rFonts w:ascii="Times New Roman" w:hAnsi="Times New Roman" w:eastAsia="仿宋_GB2312"/>
          <w:color w:val="auto"/>
          <w:sz w:val="24"/>
          <w:highlight w:val="none"/>
        </w:rPr>
      </w:pPr>
      <w:r>
        <w:rPr>
          <w:color w:val="auto"/>
          <w:highlight w:val="none"/>
        </w:rP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5758815" cy="3242310"/>
                    </a:xfrm>
                    <a:prstGeom prst="rect">
                      <a:avLst/>
                    </a:prstGeom>
                    <a:noFill/>
                    <a:ln>
                      <a:noFill/>
                    </a:ln>
                  </pic:spPr>
                </pic:pic>
              </a:graphicData>
            </a:graphic>
          </wp:inline>
        </w:drawing>
      </w:r>
    </w:p>
    <w:p>
      <w:pPr>
        <w:pStyle w:val="25"/>
        <w:tabs>
          <w:tab w:val="left" w:pos="567"/>
        </w:tabs>
        <w:rPr>
          <w:rFonts w:ascii="Times New Roman" w:hAnsi="Times New Roman" w:eastAsia="仿宋_GB2312"/>
          <w:color w:val="auto"/>
          <w:sz w:val="24"/>
          <w:szCs w:val="32"/>
          <w:highlight w:val="none"/>
        </w:rPr>
      </w:pPr>
    </w:p>
    <w:p>
      <w:pPr>
        <w:pStyle w:val="25"/>
        <w:tabs>
          <w:tab w:val="left" w:pos="567"/>
        </w:tabs>
        <w:rPr>
          <w:rFonts w:ascii="Times New Roman" w:hAnsi="Times New Roman" w:eastAsia="仿宋_GB2312"/>
          <w:color w:val="auto"/>
          <w:sz w:val="24"/>
          <w:szCs w:val="32"/>
          <w:highlight w:val="none"/>
        </w:rPr>
      </w:pPr>
    </w:p>
    <w:p>
      <w:pPr>
        <w:pStyle w:val="25"/>
        <w:tabs>
          <w:tab w:val="left" w:pos="567"/>
        </w:tabs>
        <w:rPr>
          <w:rFonts w:ascii="Times New Roman" w:hAnsi="Times New Roman" w:eastAsia="仿宋_GB2312"/>
          <w:color w:val="auto"/>
          <w:sz w:val="24"/>
          <w:szCs w:val="32"/>
          <w:highlight w:val="none"/>
        </w:rPr>
      </w:pPr>
      <w:r>
        <w:rPr>
          <w:rFonts w:ascii="Times New Roman" w:hAnsi="Times New Roman" w:eastAsia="仿宋_GB2312"/>
          <w:color w:val="auto"/>
          <w:sz w:val="24"/>
          <w:szCs w:val="32"/>
          <w:highlight w:val="none"/>
        </w:rPr>
        <w:t>省级政府采购项目贷款银行信息：</w:t>
      </w:r>
    </w:p>
    <w:p>
      <w:pPr>
        <w:rPr>
          <w:rFonts w:eastAsia="仿宋_GB2312"/>
          <w:b/>
          <w:color w:val="auto"/>
          <w:szCs w:val="21"/>
          <w:highlight w:val="none"/>
        </w:rPr>
      </w:pPr>
      <w:r>
        <w:rPr>
          <w:rFonts w:eastAsia="仿宋_GB2312"/>
          <w:color w:val="auto"/>
          <w:highlight w:val="none"/>
        </w:rPr>
        <w:t xml:space="preserve"> </w:t>
      </w:r>
      <w:r>
        <w:rPr>
          <w:rFonts w:eastAsia="仿宋_GB2312"/>
          <w:b/>
          <w:color w:val="auto"/>
          <w:szCs w:val="21"/>
          <w:highlight w:val="none"/>
        </w:rPr>
        <w:t>一、陕西建行（E政通）</w:t>
      </w:r>
    </w:p>
    <w:p>
      <w:pPr>
        <w:ind w:firstLine="420" w:firstLineChars="200"/>
        <w:rPr>
          <w:rFonts w:eastAsia="仿宋_GB2312"/>
          <w:color w:val="auto"/>
          <w:szCs w:val="21"/>
          <w:highlight w:val="none"/>
        </w:rPr>
      </w:pPr>
      <w:r>
        <w:rPr>
          <w:rFonts w:eastAsia="仿宋_GB2312"/>
          <w:color w:val="auto"/>
          <w:szCs w:val="21"/>
          <w:highlight w:val="none"/>
        </w:rPr>
        <w:t>陕西省分行营业部</w:t>
      </w:r>
      <w:r>
        <w:rPr>
          <w:rFonts w:eastAsia="仿宋_GB2312"/>
          <w:color w:val="auto"/>
          <w:szCs w:val="21"/>
          <w:highlight w:val="none"/>
        </w:rPr>
        <w:tab/>
      </w:r>
      <w:r>
        <w:rPr>
          <w:rFonts w:eastAsia="仿宋_GB2312"/>
          <w:color w:val="auto"/>
          <w:szCs w:val="21"/>
          <w:highlight w:val="none"/>
        </w:rPr>
        <w:t>西安市南广济街38号</w:t>
      </w:r>
      <w:r>
        <w:rPr>
          <w:rFonts w:eastAsia="仿宋_GB2312"/>
          <w:color w:val="auto"/>
          <w:szCs w:val="21"/>
          <w:highlight w:val="none"/>
        </w:rPr>
        <w:tab/>
      </w:r>
      <w:r>
        <w:rPr>
          <w:rFonts w:eastAsia="仿宋_GB2312"/>
          <w:color w:val="auto"/>
          <w:szCs w:val="21"/>
          <w:highlight w:val="none"/>
        </w:rPr>
        <w:t>白玉皓</w:t>
      </w:r>
      <w:r>
        <w:rPr>
          <w:rFonts w:eastAsia="仿宋_GB2312"/>
          <w:color w:val="auto"/>
          <w:szCs w:val="21"/>
          <w:highlight w:val="none"/>
        </w:rPr>
        <w:tab/>
      </w:r>
      <w:r>
        <w:rPr>
          <w:rFonts w:eastAsia="仿宋_GB2312"/>
          <w:color w:val="auto"/>
          <w:szCs w:val="21"/>
          <w:highlight w:val="none"/>
        </w:rPr>
        <w:t>13201603166</w:t>
      </w:r>
    </w:p>
    <w:p>
      <w:pPr>
        <w:rPr>
          <w:rFonts w:eastAsia="仿宋_GB2312"/>
          <w:color w:val="auto"/>
          <w:szCs w:val="21"/>
          <w:highlight w:val="none"/>
        </w:rPr>
      </w:pPr>
      <w:r>
        <w:rPr>
          <w:rFonts w:hint="eastAsia" w:eastAsia="仿宋_GB2312"/>
          <w:color w:val="auto"/>
          <w:szCs w:val="21"/>
          <w:highlight w:val="none"/>
        </w:rPr>
        <w:t xml:space="preserve">    </w:t>
      </w:r>
      <w:r>
        <w:rPr>
          <w:rFonts w:eastAsia="仿宋_GB2312"/>
          <w:color w:val="auto"/>
          <w:szCs w:val="21"/>
          <w:highlight w:val="none"/>
        </w:rPr>
        <w:t>西安莲湖路支行</w:t>
      </w:r>
      <w:r>
        <w:rPr>
          <w:rFonts w:eastAsia="仿宋_GB2312"/>
          <w:color w:val="auto"/>
          <w:szCs w:val="21"/>
          <w:highlight w:val="none"/>
        </w:rPr>
        <w:tab/>
      </w:r>
      <w:r>
        <w:rPr>
          <w:rFonts w:eastAsia="仿宋_GB2312"/>
          <w:color w:val="auto"/>
          <w:szCs w:val="21"/>
          <w:highlight w:val="none"/>
        </w:rPr>
        <w:t>西安市莲湖路35号</w:t>
      </w:r>
      <w:r>
        <w:rPr>
          <w:rFonts w:eastAsia="仿宋_GB2312"/>
          <w:color w:val="auto"/>
          <w:szCs w:val="21"/>
          <w:highlight w:val="none"/>
        </w:rPr>
        <w:tab/>
      </w:r>
      <w:r>
        <w:rPr>
          <w:rFonts w:eastAsia="仿宋_GB2312"/>
          <w:color w:val="auto"/>
          <w:szCs w:val="21"/>
          <w:highlight w:val="none"/>
        </w:rPr>
        <w:t>刘  冲</w:t>
      </w:r>
      <w:r>
        <w:rPr>
          <w:rFonts w:eastAsia="仿宋_GB2312"/>
          <w:color w:val="auto"/>
          <w:szCs w:val="21"/>
          <w:highlight w:val="none"/>
        </w:rPr>
        <w:tab/>
      </w:r>
      <w:r>
        <w:rPr>
          <w:rFonts w:eastAsia="仿宋_GB2312"/>
          <w:color w:val="auto"/>
          <w:szCs w:val="21"/>
          <w:highlight w:val="none"/>
        </w:rPr>
        <w:t>17702902131</w:t>
      </w:r>
    </w:p>
    <w:p>
      <w:pPr>
        <w:rPr>
          <w:rFonts w:eastAsia="仿宋_GB2312"/>
          <w:color w:val="auto"/>
          <w:szCs w:val="21"/>
          <w:highlight w:val="none"/>
        </w:rPr>
      </w:pPr>
      <w:r>
        <w:rPr>
          <w:rFonts w:hint="eastAsia" w:eastAsia="仿宋_GB2312"/>
          <w:color w:val="auto"/>
          <w:szCs w:val="21"/>
          <w:highlight w:val="none"/>
        </w:rPr>
        <w:t xml:space="preserve">    </w:t>
      </w:r>
      <w:r>
        <w:rPr>
          <w:rFonts w:eastAsia="仿宋_GB2312"/>
          <w:color w:val="auto"/>
          <w:szCs w:val="21"/>
          <w:highlight w:val="none"/>
        </w:rPr>
        <w:t>西安曲江支行</w:t>
      </w:r>
      <w:r>
        <w:rPr>
          <w:rFonts w:eastAsia="仿宋_GB2312"/>
          <w:color w:val="auto"/>
          <w:szCs w:val="21"/>
          <w:highlight w:val="none"/>
        </w:rPr>
        <w:tab/>
      </w:r>
      <w:r>
        <w:rPr>
          <w:rFonts w:eastAsia="仿宋_GB2312"/>
          <w:color w:val="auto"/>
          <w:szCs w:val="21"/>
          <w:highlight w:val="none"/>
        </w:rPr>
        <w:t>西安市雁塔南路2216号</w:t>
      </w:r>
      <w:r>
        <w:rPr>
          <w:rFonts w:eastAsia="仿宋_GB2312"/>
          <w:color w:val="auto"/>
          <w:szCs w:val="21"/>
          <w:highlight w:val="none"/>
        </w:rPr>
        <w:tab/>
      </w:r>
      <w:r>
        <w:rPr>
          <w:rFonts w:eastAsia="仿宋_GB2312"/>
          <w:color w:val="auto"/>
          <w:szCs w:val="21"/>
          <w:highlight w:val="none"/>
        </w:rPr>
        <w:t>樊理君</w:t>
      </w:r>
      <w:r>
        <w:rPr>
          <w:rFonts w:eastAsia="仿宋_GB2312"/>
          <w:color w:val="auto"/>
          <w:szCs w:val="21"/>
          <w:highlight w:val="none"/>
        </w:rPr>
        <w:tab/>
      </w:r>
      <w:r>
        <w:rPr>
          <w:rFonts w:eastAsia="仿宋_GB2312"/>
          <w:color w:val="auto"/>
          <w:szCs w:val="21"/>
          <w:highlight w:val="none"/>
        </w:rPr>
        <w:t>18691568151</w:t>
      </w:r>
    </w:p>
    <w:p>
      <w:pPr>
        <w:rPr>
          <w:rFonts w:eastAsia="仿宋_GB2312"/>
          <w:color w:val="auto"/>
          <w:szCs w:val="21"/>
          <w:highlight w:val="none"/>
        </w:rPr>
      </w:pPr>
      <w:r>
        <w:rPr>
          <w:rFonts w:hint="eastAsia" w:eastAsia="仿宋_GB2312"/>
          <w:color w:val="auto"/>
          <w:szCs w:val="21"/>
          <w:highlight w:val="none"/>
        </w:rPr>
        <w:t xml:space="preserve">    </w:t>
      </w:r>
      <w:r>
        <w:rPr>
          <w:rFonts w:eastAsia="仿宋_GB2312"/>
          <w:color w:val="auto"/>
          <w:szCs w:val="21"/>
          <w:highlight w:val="none"/>
        </w:rPr>
        <w:t>西安高新区支行</w:t>
      </w:r>
      <w:r>
        <w:rPr>
          <w:rFonts w:eastAsia="仿宋_GB2312"/>
          <w:color w:val="auto"/>
          <w:szCs w:val="21"/>
          <w:highlight w:val="none"/>
        </w:rPr>
        <w:tab/>
      </w:r>
      <w:r>
        <w:rPr>
          <w:rFonts w:eastAsia="仿宋_GB2312"/>
          <w:color w:val="auto"/>
          <w:szCs w:val="21"/>
          <w:highlight w:val="none"/>
        </w:rPr>
        <w:t>西安市高新路42号</w:t>
      </w:r>
      <w:r>
        <w:rPr>
          <w:rFonts w:eastAsia="仿宋_GB2312"/>
          <w:color w:val="auto"/>
          <w:szCs w:val="21"/>
          <w:highlight w:val="none"/>
        </w:rPr>
        <w:tab/>
      </w:r>
      <w:r>
        <w:rPr>
          <w:rFonts w:eastAsia="仿宋_GB2312"/>
          <w:color w:val="auto"/>
          <w:szCs w:val="21"/>
          <w:highlight w:val="none"/>
        </w:rPr>
        <w:t>卞斯超</w:t>
      </w:r>
      <w:r>
        <w:rPr>
          <w:rFonts w:eastAsia="仿宋_GB2312"/>
          <w:color w:val="auto"/>
          <w:szCs w:val="21"/>
          <w:highlight w:val="none"/>
        </w:rPr>
        <w:tab/>
      </w:r>
      <w:r>
        <w:rPr>
          <w:rFonts w:eastAsia="仿宋_GB2312"/>
          <w:color w:val="auto"/>
          <w:szCs w:val="21"/>
          <w:highlight w:val="none"/>
        </w:rPr>
        <w:t>15191075651</w:t>
      </w:r>
    </w:p>
    <w:p>
      <w:pPr>
        <w:rPr>
          <w:rFonts w:eastAsia="仿宋_GB2312"/>
          <w:color w:val="auto"/>
          <w:szCs w:val="21"/>
          <w:highlight w:val="none"/>
        </w:rPr>
      </w:pPr>
      <w:r>
        <w:rPr>
          <w:rFonts w:hint="eastAsia" w:eastAsia="仿宋_GB2312"/>
          <w:color w:val="auto"/>
          <w:szCs w:val="21"/>
          <w:highlight w:val="none"/>
        </w:rPr>
        <w:t xml:space="preserve">    </w:t>
      </w:r>
      <w:r>
        <w:rPr>
          <w:rFonts w:eastAsia="仿宋_GB2312"/>
          <w:color w:val="auto"/>
          <w:szCs w:val="21"/>
          <w:highlight w:val="none"/>
        </w:rPr>
        <w:t>西安经开区支行</w:t>
      </w:r>
      <w:r>
        <w:rPr>
          <w:rFonts w:eastAsia="仿宋_GB2312"/>
          <w:color w:val="auto"/>
          <w:szCs w:val="21"/>
          <w:highlight w:val="none"/>
        </w:rPr>
        <w:tab/>
      </w:r>
      <w:r>
        <w:rPr>
          <w:rFonts w:eastAsia="仿宋_GB2312"/>
          <w:color w:val="auto"/>
          <w:szCs w:val="21"/>
          <w:highlight w:val="none"/>
        </w:rPr>
        <w:t>西安市未央路125号</w:t>
      </w:r>
      <w:r>
        <w:rPr>
          <w:rFonts w:eastAsia="仿宋_GB2312"/>
          <w:color w:val="auto"/>
          <w:szCs w:val="21"/>
          <w:highlight w:val="none"/>
        </w:rPr>
        <w:tab/>
      </w:r>
      <w:r>
        <w:rPr>
          <w:rFonts w:eastAsia="仿宋_GB2312"/>
          <w:color w:val="auto"/>
          <w:szCs w:val="21"/>
          <w:highlight w:val="none"/>
        </w:rPr>
        <w:t>惠  媛</w:t>
      </w:r>
      <w:r>
        <w:rPr>
          <w:rFonts w:eastAsia="仿宋_GB2312"/>
          <w:color w:val="auto"/>
          <w:szCs w:val="21"/>
          <w:highlight w:val="none"/>
        </w:rPr>
        <w:tab/>
      </w:r>
      <w:r>
        <w:rPr>
          <w:rFonts w:eastAsia="仿宋_GB2312"/>
          <w:color w:val="auto"/>
          <w:szCs w:val="21"/>
          <w:highlight w:val="none"/>
        </w:rPr>
        <w:t>17792256100</w:t>
      </w:r>
    </w:p>
    <w:p>
      <w:pPr>
        <w:rPr>
          <w:rFonts w:eastAsia="仿宋_GB2312"/>
          <w:color w:val="auto"/>
          <w:szCs w:val="21"/>
          <w:highlight w:val="none"/>
        </w:rPr>
      </w:pPr>
      <w:r>
        <w:rPr>
          <w:rFonts w:hint="eastAsia" w:eastAsia="仿宋_GB2312"/>
          <w:color w:val="auto"/>
          <w:szCs w:val="21"/>
          <w:highlight w:val="none"/>
        </w:rPr>
        <w:t xml:space="preserve">    </w:t>
      </w:r>
      <w:r>
        <w:rPr>
          <w:rFonts w:eastAsia="仿宋_GB2312"/>
          <w:color w:val="auto"/>
          <w:szCs w:val="21"/>
          <w:highlight w:val="none"/>
        </w:rPr>
        <w:t>西安南大街支行</w:t>
      </w:r>
      <w:r>
        <w:rPr>
          <w:rFonts w:eastAsia="仿宋_GB2312"/>
          <w:color w:val="auto"/>
          <w:szCs w:val="21"/>
          <w:highlight w:val="none"/>
        </w:rPr>
        <w:tab/>
      </w:r>
      <w:r>
        <w:rPr>
          <w:rFonts w:eastAsia="仿宋_GB2312"/>
          <w:color w:val="auto"/>
          <w:szCs w:val="21"/>
          <w:highlight w:val="none"/>
        </w:rPr>
        <w:t>西安市南大街15号</w:t>
      </w:r>
      <w:r>
        <w:rPr>
          <w:rFonts w:eastAsia="仿宋_GB2312"/>
          <w:color w:val="auto"/>
          <w:szCs w:val="21"/>
          <w:highlight w:val="none"/>
        </w:rPr>
        <w:tab/>
      </w:r>
      <w:r>
        <w:rPr>
          <w:rFonts w:eastAsia="仿宋_GB2312"/>
          <w:color w:val="auto"/>
          <w:szCs w:val="21"/>
          <w:highlight w:val="none"/>
        </w:rPr>
        <w:t>乔  鉴</w:t>
      </w:r>
      <w:r>
        <w:rPr>
          <w:rFonts w:eastAsia="仿宋_GB2312"/>
          <w:color w:val="auto"/>
          <w:szCs w:val="21"/>
          <w:highlight w:val="none"/>
        </w:rPr>
        <w:tab/>
      </w:r>
      <w:r>
        <w:rPr>
          <w:rFonts w:eastAsia="仿宋_GB2312"/>
          <w:color w:val="auto"/>
          <w:szCs w:val="21"/>
          <w:highlight w:val="none"/>
        </w:rPr>
        <w:t>18089136919</w:t>
      </w:r>
    </w:p>
    <w:p>
      <w:pPr>
        <w:ind w:firstLine="420"/>
        <w:rPr>
          <w:rFonts w:eastAsia="仿宋_GB2312"/>
          <w:color w:val="auto"/>
          <w:szCs w:val="21"/>
          <w:highlight w:val="none"/>
        </w:rPr>
      </w:pPr>
      <w:r>
        <w:rPr>
          <w:rFonts w:eastAsia="仿宋_GB2312"/>
          <w:color w:val="auto"/>
          <w:szCs w:val="21"/>
          <w:highlight w:val="none"/>
        </w:rPr>
        <w:t>西安和平路支行</w:t>
      </w:r>
      <w:r>
        <w:rPr>
          <w:rFonts w:eastAsia="仿宋_GB2312"/>
          <w:color w:val="auto"/>
          <w:szCs w:val="21"/>
          <w:highlight w:val="none"/>
        </w:rPr>
        <w:tab/>
      </w:r>
      <w:r>
        <w:rPr>
          <w:rFonts w:eastAsia="仿宋_GB2312"/>
          <w:color w:val="auto"/>
          <w:szCs w:val="21"/>
          <w:highlight w:val="none"/>
        </w:rPr>
        <w:t>西安市和平路101号</w:t>
      </w:r>
      <w:r>
        <w:rPr>
          <w:rFonts w:eastAsia="仿宋_GB2312"/>
          <w:color w:val="auto"/>
          <w:szCs w:val="21"/>
          <w:highlight w:val="none"/>
        </w:rPr>
        <w:tab/>
      </w:r>
      <w:r>
        <w:rPr>
          <w:rFonts w:eastAsia="仿宋_GB2312"/>
          <w:color w:val="auto"/>
          <w:szCs w:val="21"/>
          <w:highlight w:val="none"/>
        </w:rPr>
        <w:t>陈  歆</w:t>
      </w:r>
      <w:r>
        <w:rPr>
          <w:rFonts w:eastAsia="仿宋_GB2312"/>
          <w:color w:val="auto"/>
          <w:szCs w:val="21"/>
          <w:highlight w:val="none"/>
        </w:rPr>
        <w:tab/>
      </w:r>
      <w:r>
        <w:rPr>
          <w:rFonts w:eastAsia="仿宋_GB2312"/>
          <w:color w:val="auto"/>
          <w:szCs w:val="21"/>
          <w:highlight w:val="none"/>
        </w:rPr>
        <w:t>18691816821</w:t>
      </w:r>
    </w:p>
    <w:p>
      <w:pPr>
        <w:ind w:firstLine="420"/>
        <w:rPr>
          <w:rFonts w:eastAsia="仿宋_GB2312"/>
          <w:color w:val="auto"/>
          <w:szCs w:val="21"/>
          <w:highlight w:val="none"/>
        </w:rPr>
      </w:pPr>
      <w:r>
        <w:rPr>
          <w:rFonts w:eastAsia="仿宋_GB2312"/>
          <w:color w:val="auto"/>
          <w:szCs w:val="21"/>
          <w:highlight w:val="none"/>
        </w:rPr>
        <w:t>西安兴庆路支行</w:t>
      </w:r>
      <w:r>
        <w:rPr>
          <w:rFonts w:eastAsia="仿宋_GB2312"/>
          <w:color w:val="auto"/>
          <w:szCs w:val="21"/>
          <w:highlight w:val="none"/>
        </w:rPr>
        <w:tab/>
      </w:r>
      <w:r>
        <w:rPr>
          <w:rFonts w:eastAsia="仿宋_GB2312"/>
          <w:color w:val="auto"/>
          <w:szCs w:val="21"/>
          <w:highlight w:val="none"/>
        </w:rPr>
        <w:t>西安市兴庆路61号</w:t>
      </w:r>
      <w:r>
        <w:rPr>
          <w:rFonts w:eastAsia="仿宋_GB2312"/>
          <w:color w:val="auto"/>
          <w:szCs w:val="21"/>
          <w:highlight w:val="none"/>
        </w:rPr>
        <w:tab/>
      </w:r>
      <w:r>
        <w:rPr>
          <w:rFonts w:eastAsia="仿宋_GB2312"/>
          <w:color w:val="auto"/>
          <w:szCs w:val="21"/>
          <w:highlight w:val="none"/>
        </w:rPr>
        <w:t>李  妍</w:t>
      </w:r>
      <w:r>
        <w:rPr>
          <w:rFonts w:eastAsia="仿宋_GB2312"/>
          <w:color w:val="auto"/>
          <w:szCs w:val="21"/>
          <w:highlight w:val="none"/>
        </w:rPr>
        <w:tab/>
      </w:r>
      <w:r>
        <w:rPr>
          <w:rFonts w:eastAsia="仿宋_GB2312"/>
          <w:color w:val="auto"/>
          <w:szCs w:val="21"/>
          <w:highlight w:val="none"/>
        </w:rPr>
        <w:t>13892880386</w:t>
      </w:r>
    </w:p>
    <w:p>
      <w:pPr>
        <w:ind w:firstLine="420"/>
        <w:rPr>
          <w:rFonts w:eastAsia="仿宋_GB2312"/>
          <w:color w:val="auto"/>
          <w:szCs w:val="21"/>
          <w:highlight w:val="none"/>
        </w:rPr>
      </w:pPr>
      <w:r>
        <w:rPr>
          <w:rFonts w:eastAsia="仿宋_GB2312"/>
          <w:color w:val="auto"/>
          <w:szCs w:val="21"/>
          <w:highlight w:val="none"/>
        </w:rPr>
        <w:t>西安新城支行</w:t>
      </w:r>
      <w:r>
        <w:rPr>
          <w:rFonts w:eastAsia="仿宋_GB2312"/>
          <w:color w:val="auto"/>
          <w:szCs w:val="21"/>
          <w:highlight w:val="none"/>
        </w:rPr>
        <w:tab/>
      </w:r>
      <w:r>
        <w:rPr>
          <w:rFonts w:eastAsia="仿宋_GB2312"/>
          <w:color w:val="auto"/>
          <w:szCs w:val="21"/>
          <w:highlight w:val="none"/>
        </w:rPr>
        <w:t>西安市南新街29号</w:t>
      </w:r>
      <w:r>
        <w:rPr>
          <w:rFonts w:eastAsia="仿宋_GB2312"/>
          <w:color w:val="auto"/>
          <w:szCs w:val="21"/>
          <w:highlight w:val="none"/>
        </w:rPr>
        <w:tab/>
      </w:r>
      <w:r>
        <w:rPr>
          <w:rFonts w:eastAsia="仿宋_GB2312"/>
          <w:color w:val="auto"/>
          <w:szCs w:val="21"/>
          <w:highlight w:val="none"/>
        </w:rPr>
        <w:t>朱子君</w:t>
      </w:r>
      <w:r>
        <w:rPr>
          <w:rFonts w:eastAsia="仿宋_GB2312"/>
          <w:color w:val="auto"/>
          <w:szCs w:val="21"/>
          <w:highlight w:val="none"/>
        </w:rPr>
        <w:tab/>
      </w:r>
      <w:r>
        <w:rPr>
          <w:rFonts w:eastAsia="仿宋_GB2312"/>
          <w:color w:val="auto"/>
          <w:szCs w:val="21"/>
          <w:highlight w:val="none"/>
        </w:rPr>
        <w:t>18629286269</w:t>
      </w:r>
    </w:p>
    <w:p>
      <w:pPr>
        <w:ind w:firstLine="420"/>
        <w:rPr>
          <w:rFonts w:eastAsia="仿宋_GB2312"/>
          <w:color w:val="auto"/>
          <w:szCs w:val="21"/>
          <w:highlight w:val="none"/>
        </w:rPr>
      </w:pPr>
      <w:r>
        <w:rPr>
          <w:rFonts w:eastAsia="仿宋_GB2312"/>
          <w:color w:val="auto"/>
          <w:szCs w:val="21"/>
          <w:highlight w:val="none"/>
        </w:rPr>
        <w:t>西安长安区支行</w:t>
      </w:r>
      <w:r>
        <w:rPr>
          <w:rFonts w:eastAsia="仿宋_GB2312"/>
          <w:color w:val="auto"/>
          <w:szCs w:val="21"/>
          <w:highlight w:val="none"/>
        </w:rPr>
        <w:tab/>
      </w:r>
      <w:r>
        <w:rPr>
          <w:rFonts w:eastAsia="仿宋_GB2312"/>
          <w:color w:val="auto"/>
          <w:szCs w:val="21"/>
          <w:highlight w:val="none"/>
        </w:rPr>
        <w:t>西安市长安区青年街2号</w:t>
      </w:r>
      <w:r>
        <w:rPr>
          <w:rFonts w:eastAsia="仿宋_GB2312"/>
          <w:color w:val="auto"/>
          <w:szCs w:val="21"/>
          <w:highlight w:val="none"/>
        </w:rPr>
        <w:tab/>
      </w:r>
      <w:r>
        <w:rPr>
          <w:rFonts w:eastAsia="仿宋_GB2312"/>
          <w:color w:val="auto"/>
          <w:szCs w:val="21"/>
          <w:highlight w:val="none"/>
        </w:rPr>
        <w:t>王淑芸</w:t>
      </w:r>
      <w:r>
        <w:rPr>
          <w:rFonts w:eastAsia="仿宋_GB2312"/>
          <w:color w:val="auto"/>
          <w:szCs w:val="21"/>
          <w:highlight w:val="none"/>
        </w:rPr>
        <w:tab/>
      </w:r>
      <w:r>
        <w:rPr>
          <w:rFonts w:eastAsia="仿宋_GB2312"/>
          <w:color w:val="auto"/>
          <w:szCs w:val="21"/>
          <w:highlight w:val="none"/>
        </w:rPr>
        <w:t>13572289603</w:t>
      </w:r>
    </w:p>
    <w:p>
      <w:pPr>
        <w:ind w:firstLine="420"/>
        <w:rPr>
          <w:rFonts w:eastAsia="仿宋_GB2312"/>
          <w:color w:val="auto"/>
          <w:szCs w:val="21"/>
          <w:highlight w:val="none"/>
        </w:rPr>
      </w:pPr>
      <w:r>
        <w:rPr>
          <w:rFonts w:eastAsia="仿宋_GB2312"/>
          <w:color w:val="auto"/>
          <w:szCs w:val="21"/>
          <w:highlight w:val="none"/>
        </w:rPr>
        <w:t>咸阳分行</w:t>
      </w:r>
      <w:r>
        <w:rPr>
          <w:rFonts w:eastAsia="仿宋_GB2312"/>
          <w:color w:val="auto"/>
          <w:szCs w:val="21"/>
          <w:highlight w:val="none"/>
        </w:rPr>
        <w:tab/>
      </w:r>
      <w:r>
        <w:rPr>
          <w:rFonts w:eastAsia="仿宋_GB2312"/>
          <w:color w:val="auto"/>
          <w:szCs w:val="21"/>
          <w:highlight w:val="none"/>
        </w:rPr>
        <w:t>咸阳市西兰路4号</w:t>
      </w:r>
      <w:r>
        <w:rPr>
          <w:rFonts w:eastAsia="仿宋_GB2312"/>
          <w:color w:val="auto"/>
          <w:szCs w:val="21"/>
          <w:highlight w:val="none"/>
        </w:rPr>
        <w:tab/>
      </w:r>
      <w:r>
        <w:rPr>
          <w:rFonts w:eastAsia="仿宋_GB2312"/>
          <w:color w:val="auto"/>
          <w:szCs w:val="21"/>
          <w:highlight w:val="none"/>
        </w:rPr>
        <w:t>邰  洋</w:t>
      </w:r>
      <w:r>
        <w:rPr>
          <w:rFonts w:eastAsia="仿宋_GB2312"/>
          <w:color w:val="auto"/>
          <w:szCs w:val="21"/>
          <w:highlight w:val="none"/>
        </w:rPr>
        <w:tab/>
      </w:r>
      <w:r>
        <w:rPr>
          <w:rFonts w:eastAsia="仿宋_GB2312"/>
          <w:color w:val="auto"/>
          <w:szCs w:val="21"/>
          <w:highlight w:val="none"/>
        </w:rPr>
        <w:t>13299079906</w:t>
      </w:r>
    </w:p>
    <w:p>
      <w:pPr>
        <w:ind w:firstLine="420"/>
        <w:rPr>
          <w:rFonts w:eastAsia="仿宋_GB2312"/>
          <w:color w:val="auto"/>
          <w:szCs w:val="21"/>
          <w:highlight w:val="none"/>
        </w:rPr>
      </w:pPr>
      <w:r>
        <w:rPr>
          <w:rFonts w:eastAsia="仿宋_GB2312"/>
          <w:color w:val="auto"/>
          <w:szCs w:val="21"/>
          <w:highlight w:val="none"/>
        </w:rPr>
        <w:t>宝鸡分行</w:t>
      </w:r>
      <w:r>
        <w:rPr>
          <w:rFonts w:eastAsia="仿宋_GB2312"/>
          <w:color w:val="auto"/>
          <w:szCs w:val="21"/>
          <w:highlight w:val="none"/>
        </w:rPr>
        <w:tab/>
      </w:r>
      <w:r>
        <w:rPr>
          <w:rFonts w:eastAsia="仿宋_GB2312"/>
          <w:color w:val="auto"/>
          <w:szCs w:val="21"/>
          <w:highlight w:val="none"/>
        </w:rPr>
        <w:t>宝鸡市红旗路36号</w:t>
      </w:r>
      <w:r>
        <w:rPr>
          <w:rFonts w:eastAsia="仿宋_GB2312"/>
          <w:color w:val="auto"/>
          <w:szCs w:val="21"/>
          <w:highlight w:val="none"/>
        </w:rPr>
        <w:tab/>
      </w:r>
      <w:r>
        <w:rPr>
          <w:rFonts w:eastAsia="仿宋_GB2312"/>
          <w:color w:val="auto"/>
          <w:szCs w:val="21"/>
          <w:highlight w:val="none"/>
        </w:rPr>
        <w:t>李  倩</w:t>
      </w:r>
      <w:r>
        <w:rPr>
          <w:rFonts w:eastAsia="仿宋_GB2312"/>
          <w:color w:val="auto"/>
          <w:szCs w:val="21"/>
          <w:highlight w:val="none"/>
        </w:rPr>
        <w:tab/>
      </w:r>
      <w:r>
        <w:rPr>
          <w:rFonts w:eastAsia="仿宋_GB2312"/>
          <w:color w:val="auto"/>
          <w:szCs w:val="21"/>
          <w:highlight w:val="none"/>
        </w:rPr>
        <w:t>18629019817</w:t>
      </w:r>
    </w:p>
    <w:p>
      <w:pPr>
        <w:ind w:firstLine="420"/>
        <w:rPr>
          <w:rFonts w:eastAsia="仿宋_GB2312"/>
          <w:color w:val="auto"/>
          <w:szCs w:val="21"/>
          <w:highlight w:val="none"/>
        </w:rPr>
      </w:pPr>
      <w:r>
        <w:rPr>
          <w:rFonts w:eastAsia="仿宋_GB2312"/>
          <w:color w:val="auto"/>
          <w:szCs w:val="21"/>
          <w:highlight w:val="none"/>
        </w:rPr>
        <w:t>铜川分行</w:t>
      </w:r>
      <w:r>
        <w:rPr>
          <w:rFonts w:eastAsia="仿宋_GB2312"/>
          <w:color w:val="auto"/>
          <w:szCs w:val="21"/>
          <w:highlight w:val="none"/>
        </w:rPr>
        <w:tab/>
      </w:r>
      <w:r>
        <w:rPr>
          <w:rFonts w:eastAsia="仿宋_GB2312"/>
          <w:color w:val="auto"/>
          <w:szCs w:val="21"/>
          <w:highlight w:val="none"/>
        </w:rPr>
        <w:t>铜川市新区正阳路与长虹路十字</w:t>
      </w:r>
      <w:r>
        <w:rPr>
          <w:rFonts w:eastAsia="仿宋_GB2312"/>
          <w:color w:val="auto"/>
          <w:szCs w:val="21"/>
          <w:highlight w:val="none"/>
        </w:rPr>
        <w:tab/>
      </w:r>
      <w:r>
        <w:rPr>
          <w:rFonts w:eastAsia="仿宋_GB2312"/>
          <w:color w:val="auto"/>
          <w:szCs w:val="21"/>
          <w:highlight w:val="none"/>
        </w:rPr>
        <w:t>张小波</w:t>
      </w:r>
      <w:r>
        <w:rPr>
          <w:rFonts w:eastAsia="仿宋_GB2312"/>
          <w:color w:val="auto"/>
          <w:szCs w:val="21"/>
          <w:highlight w:val="none"/>
        </w:rPr>
        <w:tab/>
      </w:r>
      <w:r>
        <w:rPr>
          <w:rFonts w:eastAsia="仿宋_GB2312"/>
          <w:color w:val="auto"/>
          <w:szCs w:val="21"/>
          <w:highlight w:val="none"/>
        </w:rPr>
        <w:t>18691932636</w:t>
      </w:r>
    </w:p>
    <w:p>
      <w:pPr>
        <w:ind w:firstLine="420"/>
        <w:rPr>
          <w:rFonts w:eastAsia="仿宋_GB2312"/>
          <w:color w:val="auto"/>
          <w:szCs w:val="21"/>
          <w:highlight w:val="none"/>
        </w:rPr>
      </w:pPr>
      <w:r>
        <w:rPr>
          <w:rFonts w:eastAsia="仿宋_GB2312"/>
          <w:color w:val="auto"/>
          <w:szCs w:val="21"/>
          <w:highlight w:val="none"/>
        </w:rPr>
        <w:t>榆林分行</w:t>
      </w:r>
      <w:r>
        <w:rPr>
          <w:rFonts w:eastAsia="仿宋_GB2312"/>
          <w:color w:val="auto"/>
          <w:szCs w:val="21"/>
          <w:highlight w:val="none"/>
        </w:rPr>
        <w:tab/>
      </w:r>
      <w:r>
        <w:rPr>
          <w:rFonts w:eastAsia="仿宋_GB2312"/>
          <w:color w:val="auto"/>
          <w:szCs w:val="21"/>
          <w:highlight w:val="none"/>
        </w:rPr>
        <w:t>榆林市高新技术产业园区创业大厦</w:t>
      </w:r>
      <w:r>
        <w:rPr>
          <w:rFonts w:eastAsia="仿宋_GB2312"/>
          <w:color w:val="auto"/>
          <w:szCs w:val="21"/>
          <w:highlight w:val="none"/>
        </w:rPr>
        <w:tab/>
      </w:r>
      <w:r>
        <w:rPr>
          <w:rFonts w:eastAsia="仿宋_GB2312"/>
          <w:color w:val="auto"/>
          <w:szCs w:val="21"/>
          <w:highlight w:val="none"/>
        </w:rPr>
        <w:t>张君君</w:t>
      </w:r>
      <w:r>
        <w:rPr>
          <w:rFonts w:eastAsia="仿宋_GB2312"/>
          <w:color w:val="auto"/>
          <w:szCs w:val="21"/>
          <w:highlight w:val="none"/>
        </w:rPr>
        <w:tab/>
      </w:r>
      <w:r>
        <w:rPr>
          <w:rFonts w:eastAsia="仿宋_GB2312"/>
          <w:color w:val="auto"/>
          <w:szCs w:val="21"/>
          <w:highlight w:val="none"/>
        </w:rPr>
        <w:t>15991929275</w:t>
      </w:r>
    </w:p>
    <w:p>
      <w:pPr>
        <w:ind w:firstLine="420"/>
        <w:rPr>
          <w:rFonts w:eastAsia="仿宋_GB2312"/>
          <w:color w:val="auto"/>
          <w:szCs w:val="21"/>
          <w:highlight w:val="none"/>
        </w:rPr>
      </w:pPr>
      <w:r>
        <w:rPr>
          <w:rFonts w:eastAsia="仿宋_GB2312"/>
          <w:color w:val="auto"/>
          <w:szCs w:val="21"/>
          <w:highlight w:val="none"/>
        </w:rPr>
        <w:t>延安分行</w:t>
      </w:r>
      <w:r>
        <w:rPr>
          <w:rFonts w:eastAsia="仿宋_GB2312"/>
          <w:color w:val="auto"/>
          <w:szCs w:val="21"/>
          <w:highlight w:val="none"/>
        </w:rPr>
        <w:tab/>
      </w:r>
      <w:r>
        <w:rPr>
          <w:rFonts w:eastAsia="仿宋_GB2312"/>
          <w:color w:val="auto"/>
          <w:szCs w:val="21"/>
          <w:highlight w:val="none"/>
        </w:rPr>
        <w:t>延安市宝塔区中心街</w:t>
      </w:r>
      <w:r>
        <w:rPr>
          <w:rFonts w:eastAsia="仿宋_GB2312"/>
          <w:color w:val="auto"/>
          <w:szCs w:val="21"/>
          <w:highlight w:val="none"/>
        </w:rPr>
        <w:tab/>
      </w:r>
      <w:r>
        <w:rPr>
          <w:rFonts w:eastAsia="仿宋_GB2312"/>
          <w:color w:val="auto"/>
          <w:szCs w:val="21"/>
          <w:highlight w:val="none"/>
        </w:rPr>
        <w:t>陈进佃</w:t>
      </w:r>
      <w:r>
        <w:rPr>
          <w:rFonts w:eastAsia="仿宋_GB2312"/>
          <w:color w:val="auto"/>
          <w:szCs w:val="21"/>
          <w:highlight w:val="none"/>
        </w:rPr>
        <w:tab/>
      </w:r>
      <w:r>
        <w:rPr>
          <w:rFonts w:eastAsia="仿宋_GB2312"/>
          <w:color w:val="auto"/>
          <w:szCs w:val="21"/>
          <w:highlight w:val="none"/>
        </w:rPr>
        <w:t>15609110557</w:t>
      </w:r>
    </w:p>
    <w:p>
      <w:pPr>
        <w:ind w:firstLine="420"/>
        <w:rPr>
          <w:rFonts w:eastAsia="仿宋_GB2312"/>
          <w:color w:val="auto"/>
          <w:szCs w:val="21"/>
          <w:highlight w:val="none"/>
        </w:rPr>
      </w:pPr>
      <w:r>
        <w:rPr>
          <w:rFonts w:eastAsia="仿宋_GB2312"/>
          <w:color w:val="auto"/>
          <w:szCs w:val="21"/>
          <w:highlight w:val="none"/>
        </w:rPr>
        <w:t>汉中分行</w:t>
      </w:r>
      <w:r>
        <w:rPr>
          <w:rFonts w:eastAsia="仿宋_GB2312"/>
          <w:color w:val="auto"/>
          <w:szCs w:val="21"/>
          <w:highlight w:val="none"/>
        </w:rPr>
        <w:tab/>
      </w:r>
      <w:r>
        <w:rPr>
          <w:rFonts w:eastAsia="仿宋_GB2312"/>
          <w:color w:val="auto"/>
          <w:szCs w:val="21"/>
          <w:highlight w:val="none"/>
        </w:rPr>
        <w:t>汉中市石灰巷21号</w:t>
      </w:r>
      <w:r>
        <w:rPr>
          <w:rFonts w:eastAsia="仿宋_GB2312"/>
          <w:color w:val="auto"/>
          <w:szCs w:val="21"/>
          <w:highlight w:val="none"/>
        </w:rPr>
        <w:tab/>
      </w:r>
      <w:r>
        <w:rPr>
          <w:rFonts w:eastAsia="仿宋_GB2312"/>
          <w:color w:val="auto"/>
          <w:szCs w:val="21"/>
          <w:highlight w:val="none"/>
        </w:rPr>
        <w:t>王晨旭</w:t>
      </w:r>
      <w:r>
        <w:rPr>
          <w:rFonts w:eastAsia="仿宋_GB2312"/>
          <w:color w:val="auto"/>
          <w:szCs w:val="21"/>
          <w:highlight w:val="none"/>
        </w:rPr>
        <w:tab/>
      </w:r>
      <w:r>
        <w:rPr>
          <w:rFonts w:eastAsia="仿宋_GB2312"/>
          <w:color w:val="auto"/>
          <w:szCs w:val="21"/>
          <w:highlight w:val="none"/>
        </w:rPr>
        <w:t>15319375850</w:t>
      </w:r>
    </w:p>
    <w:p>
      <w:pPr>
        <w:ind w:firstLine="420"/>
        <w:rPr>
          <w:rFonts w:eastAsia="仿宋_GB2312"/>
          <w:color w:val="auto"/>
          <w:szCs w:val="21"/>
          <w:highlight w:val="none"/>
        </w:rPr>
      </w:pPr>
      <w:r>
        <w:rPr>
          <w:rFonts w:eastAsia="仿宋_GB2312"/>
          <w:color w:val="auto"/>
          <w:szCs w:val="21"/>
          <w:highlight w:val="none"/>
        </w:rPr>
        <w:t>安康分行</w:t>
      </w:r>
      <w:r>
        <w:rPr>
          <w:rFonts w:eastAsia="仿宋_GB2312"/>
          <w:color w:val="auto"/>
          <w:szCs w:val="21"/>
          <w:highlight w:val="none"/>
        </w:rPr>
        <w:tab/>
      </w:r>
      <w:r>
        <w:rPr>
          <w:rFonts w:eastAsia="仿宋_GB2312"/>
          <w:color w:val="auto"/>
          <w:szCs w:val="21"/>
          <w:highlight w:val="none"/>
        </w:rPr>
        <w:t>安康市育才路102号</w:t>
      </w:r>
      <w:r>
        <w:rPr>
          <w:rFonts w:eastAsia="仿宋_GB2312"/>
          <w:color w:val="auto"/>
          <w:szCs w:val="21"/>
          <w:highlight w:val="none"/>
        </w:rPr>
        <w:tab/>
      </w:r>
      <w:r>
        <w:rPr>
          <w:rFonts w:eastAsia="仿宋_GB2312"/>
          <w:color w:val="auto"/>
          <w:szCs w:val="21"/>
          <w:highlight w:val="none"/>
        </w:rPr>
        <w:t>张少帅</w:t>
      </w:r>
      <w:r>
        <w:rPr>
          <w:rFonts w:eastAsia="仿宋_GB2312"/>
          <w:color w:val="auto"/>
          <w:szCs w:val="21"/>
          <w:highlight w:val="none"/>
        </w:rPr>
        <w:tab/>
      </w:r>
      <w:r>
        <w:rPr>
          <w:rFonts w:eastAsia="仿宋_GB2312"/>
          <w:color w:val="auto"/>
          <w:szCs w:val="21"/>
          <w:highlight w:val="none"/>
        </w:rPr>
        <w:t>13165762680</w:t>
      </w:r>
    </w:p>
    <w:p>
      <w:pPr>
        <w:ind w:firstLine="420"/>
        <w:rPr>
          <w:rFonts w:eastAsia="仿宋_GB2312"/>
          <w:color w:val="auto"/>
          <w:szCs w:val="21"/>
          <w:highlight w:val="none"/>
        </w:rPr>
      </w:pPr>
      <w:r>
        <w:rPr>
          <w:rFonts w:eastAsia="仿宋_GB2312"/>
          <w:color w:val="auto"/>
          <w:szCs w:val="21"/>
          <w:highlight w:val="none"/>
        </w:rPr>
        <w:t>商洛分行</w:t>
      </w:r>
      <w:r>
        <w:rPr>
          <w:rFonts w:eastAsia="仿宋_GB2312"/>
          <w:color w:val="auto"/>
          <w:szCs w:val="21"/>
          <w:highlight w:val="none"/>
        </w:rPr>
        <w:tab/>
      </w:r>
      <w:r>
        <w:rPr>
          <w:rFonts w:eastAsia="仿宋_GB2312"/>
          <w:color w:val="auto"/>
          <w:szCs w:val="21"/>
          <w:highlight w:val="none"/>
        </w:rPr>
        <w:t>商洛市名人街广电大楼下</w:t>
      </w:r>
      <w:r>
        <w:rPr>
          <w:rFonts w:eastAsia="仿宋_GB2312"/>
          <w:color w:val="auto"/>
          <w:szCs w:val="21"/>
          <w:highlight w:val="none"/>
        </w:rPr>
        <w:tab/>
      </w:r>
      <w:r>
        <w:rPr>
          <w:rFonts w:eastAsia="仿宋_GB2312"/>
          <w:color w:val="auto"/>
          <w:szCs w:val="21"/>
          <w:highlight w:val="none"/>
        </w:rPr>
        <w:t>郭  杨</w:t>
      </w:r>
      <w:r>
        <w:rPr>
          <w:rFonts w:eastAsia="仿宋_GB2312"/>
          <w:color w:val="auto"/>
          <w:szCs w:val="21"/>
          <w:highlight w:val="none"/>
        </w:rPr>
        <w:tab/>
      </w:r>
      <w:r>
        <w:rPr>
          <w:rFonts w:eastAsia="仿宋_GB2312"/>
          <w:color w:val="auto"/>
          <w:szCs w:val="21"/>
          <w:highlight w:val="none"/>
        </w:rPr>
        <w:t>17809267188</w:t>
      </w:r>
    </w:p>
    <w:p>
      <w:pPr>
        <w:rPr>
          <w:rFonts w:eastAsia="仿宋_GB2312"/>
          <w:b/>
          <w:color w:val="auto"/>
          <w:szCs w:val="21"/>
          <w:highlight w:val="none"/>
        </w:rPr>
      </w:pPr>
      <w:r>
        <w:rPr>
          <w:rFonts w:eastAsia="仿宋_GB2312"/>
          <w:b/>
          <w:color w:val="auto"/>
          <w:szCs w:val="21"/>
          <w:highlight w:val="none"/>
        </w:rPr>
        <w:t>二、北京银行（政府订单贷）</w:t>
      </w:r>
      <w:r>
        <w:rPr>
          <w:rFonts w:eastAsia="仿宋_GB2312"/>
          <w:b/>
          <w:color w:val="auto"/>
          <w:szCs w:val="21"/>
          <w:highlight w:val="none"/>
        </w:rPr>
        <w:tab/>
      </w:r>
      <w:r>
        <w:rPr>
          <w:rFonts w:eastAsia="仿宋_GB2312"/>
          <w:b/>
          <w:color w:val="auto"/>
          <w:szCs w:val="21"/>
          <w:highlight w:val="none"/>
        </w:rPr>
        <w:tab/>
      </w:r>
      <w:r>
        <w:rPr>
          <w:rFonts w:eastAsia="仿宋_GB2312"/>
          <w:b/>
          <w:color w:val="auto"/>
          <w:szCs w:val="21"/>
          <w:highlight w:val="none"/>
        </w:rPr>
        <w:tab/>
      </w:r>
      <w:r>
        <w:rPr>
          <w:rFonts w:eastAsia="仿宋_GB2312"/>
          <w:b/>
          <w:color w:val="auto"/>
          <w:szCs w:val="21"/>
          <w:highlight w:val="none"/>
        </w:rPr>
        <w:tab/>
      </w:r>
    </w:p>
    <w:p>
      <w:pPr>
        <w:ind w:firstLine="420" w:firstLineChars="200"/>
        <w:rPr>
          <w:rFonts w:eastAsia="仿宋_GB2312"/>
          <w:color w:val="auto"/>
          <w:szCs w:val="21"/>
          <w:highlight w:val="none"/>
        </w:rPr>
      </w:pPr>
      <w:r>
        <w:rPr>
          <w:rFonts w:eastAsia="仿宋_GB2312"/>
          <w:color w:val="auto"/>
          <w:szCs w:val="21"/>
          <w:highlight w:val="none"/>
        </w:rPr>
        <w:t>西安分行营业部</w:t>
      </w:r>
      <w:r>
        <w:rPr>
          <w:rFonts w:eastAsia="仿宋_GB2312"/>
          <w:color w:val="auto"/>
          <w:szCs w:val="21"/>
          <w:highlight w:val="none"/>
        </w:rPr>
        <w:tab/>
      </w:r>
      <w:r>
        <w:rPr>
          <w:rFonts w:eastAsia="仿宋_GB2312"/>
          <w:color w:val="auto"/>
          <w:szCs w:val="21"/>
          <w:highlight w:val="none"/>
        </w:rPr>
        <w:t xml:space="preserve">        刘晓伟</w:t>
      </w:r>
      <w:r>
        <w:rPr>
          <w:rFonts w:eastAsia="仿宋_GB2312"/>
          <w:color w:val="auto"/>
          <w:szCs w:val="21"/>
          <w:highlight w:val="none"/>
        </w:rPr>
        <w:tab/>
      </w:r>
      <w:r>
        <w:rPr>
          <w:rFonts w:eastAsia="仿宋_GB2312"/>
          <w:color w:val="auto"/>
          <w:szCs w:val="21"/>
          <w:highlight w:val="none"/>
        </w:rPr>
        <w:t>总经理助理</w:t>
      </w:r>
      <w:r>
        <w:rPr>
          <w:rFonts w:eastAsia="仿宋_GB2312"/>
          <w:color w:val="auto"/>
          <w:szCs w:val="21"/>
          <w:highlight w:val="none"/>
        </w:rPr>
        <w:tab/>
      </w:r>
      <w:r>
        <w:rPr>
          <w:rFonts w:eastAsia="仿宋_GB2312"/>
          <w:color w:val="auto"/>
          <w:szCs w:val="21"/>
          <w:highlight w:val="none"/>
        </w:rPr>
        <w:t>029-61828763</w:t>
      </w:r>
      <w:r>
        <w:rPr>
          <w:rFonts w:eastAsia="仿宋_GB2312"/>
          <w:color w:val="auto"/>
          <w:szCs w:val="21"/>
          <w:highlight w:val="none"/>
        </w:rPr>
        <w:tab/>
      </w:r>
      <w:r>
        <w:rPr>
          <w:rFonts w:eastAsia="仿宋_GB2312"/>
          <w:color w:val="auto"/>
          <w:szCs w:val="21"/>
          <w:highlight w:val="none"/>
        </w:rPr>
        <w:t>18066630518</w:t>
      </w:r>
    </w:p>
    <w:p>
      <w:pPr>
        <w:ind w:firstLine="420" w:firstLineChars="200"/>
        <w:rPr>
          <w:rFonts w:eastAsia="仿宋_GB2312"/>
          <w:color w:val="auto"/>
          <w:szCs w:val="21"/>
          <w:highlight w:val="none"/>
        </w:rPr>
      </w:pPr>
      <w:r>
        <w:rPr>
          <w:rFonts w:eastAsia="仿宋_GB2312"/>
          <w:color w:val="auto"/>
          <w:szCs w:val="21"/>
          <w:highlight w:val="none"/>
        </w:rPr>
        <w:t>西安高新开发区支行</w:t>
      </w:r>
      <w:r>
        <w:rPr>
          <w:rFonts w:eastAsia="仿宋_GB2312"/>
          <w:color w:val="auto"/>
          <w:szCs w:val="21"/>
          <w:highlight w:val="none"/>
        </w:rPr>
        <w:tab/>
      </w:r>
      <w:r>
        <w:rPr>
          <w:rFonts w:eastAsia="仿宋_GB2312"/>
          <w:color w:val="auto"/>
          <w:szCs w:val="21"/>
          <w:highlight w:val="none"/>
        </w:rPr>
        <w:t xml:space="preserve">    梁凡</w:t>
      </w:r>
      <w:r>
        <w:rPr>
          <w:rFonts w:eastAsia="仿宋_GB2312"/>
          <w:color w:val="auto"/>
          <w:szCs w:val="21"/>
          <w:highlight w:val="none"/>
        </w:rPr>
        <w:tab/>
      </w:r>
      <w:r>
        <w:rPr>
          <w:rFonts w:eastAsia="仿宋_GB2312"/>
          <w:color w:val="auto"/>
          <w:szCs w:val="21"/>
          <w:highlight w:val="none"/>
        </w:rPr>
        <w:t>行长助理</w:t>
      </w:r>
      <w:r>
        <w:rPr>
          <w:rFonts w:eastAsia="仿宋_GB2312"/>
          <w:color w:val="auto"/>
          <w:szCs w:val="21"/>
          <w:highlight w:val="none"/>
        </w:rPr>
        <w:tab/>
      </w:r>
      <w:r>
        <w:rPr>
          <w:rFonts w:eastAsia="仿宋_GB2312"/>
          <w:color w:val="auto"/>
          <w:szCs w:val="21"/>
          <w:highlight w:val="none"/>
        </w:rPr>
        <w:t>029-61828531</w:t>
      </w:r>
      <w:r>
        <w:rPr>
          <w:rFonts w:eastAsia="仿宋_GB2312"/>
          <w:color w:val="auto"/>
          <w:szCs w:val="21"/>
          <w:highlight w:val="none"/>
        </w:rPr>
        <w:tab/>
      </w:r>
      <w:r>
        <w:rPr>
          <w:rFonts w:eastAsia="仿宋_GB2312"/>
          <w:color w:val="auto"/>
          <w:szCs w:val="21"/>
          <w:highlight w:val="none"/>
        </w:rPr>
        <w:t>18681945597</w:t>
      </w:r>
    </w:p>
    <w:p>
      <w:pPr>
        <w:ind w:firstLine="420" w:firstLineChars="200"/>
        <w:rPr>
          <w:rFonts w:eastAsia="仿宋_GB2312"/>
          <w:color w:val="auto"/>
          <w:szCs w:val="21"/>
          <w:highlight w:val="none"/>
        </w:rPr>
      </w:pPr>
      <w:r>
        <w:rPr>
          <w:rFonts w:eastAsia="仿宋_GB2312"/>
          <w:color w:val="auto"/>
          <w:szCs w:val="21"/>
          <w:highlight w:val="none"/>
        </w:rPr>
        <w:t>西安曲江文创支行</w:t>
      </w:r>
      <w:r>
        <w:rPr>
          <w:rFonts w:eastAsia="仿宋_GB2312"/>
          <w:color w:val="auto"/>
          <w:szCs w:val="21"/>
          <w:highlight w:val="none"/>
        </w:rPr>
        <w:tab/>
      </w:r>
      <w:r>
        <w:rPr>
          <w:rFonts w:eastAsia="仿宋_GB2312"/>
          <w:color w:val="auto"/>
          <w:szCs w:val="21"/>
          <w:highlight w:val="none"/>
        </w:rPr>
        <w:t xml:space="preserve">    蒋超</w:t>
      </w:r>
      <w:r>
        <w:rPr>
          <w:rFonts w:eastAsia="仿宋_GB2312"/>
          <w:color w:val="auto"/>
          <w:szCs w:val="21"/>
          <w:highlight w:val="none"/>
        </w:rPr>
        <w:tab/>
      </w:r>
      <w:r>
        <w:rPr>
          <w:rFonts w:eastAsia="仿宋_GB2312"/>
          <w:color w:val="auto"/>
          <w:szCs w:val="21"/>
          <w:highlight w:val="none"/>
        </w:rPr>
        <w:t>室经理</w:t>
      </w:r>
      <w:r>
        <w:rPr>
          <w:rFonts w:eastAsia="仿宋_GB2312"/>
          <w:color w:val="auto"/>
          <w:szCs w:val="21"/>
          <w:highlight w:val="none"/>
        </w:rPr>
        <w:tab/>
      </w:r>
      <w:r>
        <w:rPr>
          <w:rFonts w:eastAsia="仿宋_GB2312"/>
          <w:color w:val="auto"/>
          <w:szCs w:val="21"/>
          <w:highlight w:val="none"/>
        </w:rPr>
        <w:t>029-65667366</w:t>
      </w:r>
      <w:r>
        <w:rPr>
          <w:rFonts w:eastAsia="仿宋_GB2312"/>
          <w:color w:val="auto"/>
          <w:szCs w:val="21"/>
          <w:highlight w:val="none"/>
        </w:rPr>
        <w:tab/>
      </w:r>
      <w:r>
        <w:rPr>
          <w:rFonts w:eastAsia="仿宋_GB2312"/>
          <w:color w:val="auto"/>
          <w:szCs w:val="21"/>
          <w:highlight w:val="none"/>
        </w:rPr>
        <w:t>15891737329</w:t>
      </w:r>
    </w:p>
    <w:p>
      <w:pPr>
        <w:ind w:firstLine="420" w:firstLineChars="200"/>
        <w:rPr>
          <w:rFonts w:eastAsia="仿宋_GB2312"/>
          <w:color w:val="auto"/>
          <w:szCs w:val="21"/>
          <w:highlight w:val="none"/>
        </w:rPr>
      </w:pPr>
      <w:r>
        <w:rPr>
          <w:rFonts w:eastAsia="仿宋_GB2312"/>
          <w:color w:val="auto"/>
          <w:szCs w:val="21"/>
          <w:highlight w:val="none"/>
        </w:rPr>
        <w:t>西安经济技术开发区支行</w:t>
      </w:r>
      <w:r>
        <w:rPr>
          <w:rFonts w:eastAsia="仿宋_GB2312"/>
          <w:color w:val="auto"/>
          <w:szCs w:val="21"/>
          <w:highlight w:val="none"/>
        </w:rPr>
        <w:tab/>
      </w:r>
      <w:r>
        <w:rPr>
          <w:rFonts w:eastAsia="仿宋_GB2312"/>
          <w:color w:val="auto"/>
          <w:szCs w:val="21"/>
          <w:highlight w:val="none"/>
        </w:rPr>
        <w:t>孟庆龙</w:t>
      </w:r>
      <w:r>
        <w:rPr>
          <w:rFonts w:eastAsia="仿宋_GB2312"/>
          <w:color w:val="auto"/>
          <w:szCs w:val="21"/>
          <w:highlight w:val="none"/>
        </w:rPr>
        <w:tab/>
      </w:r>
      <w:r>
        <w:rPr>
          <w:rFonts w:eastAsia="仿宋_GB2312"/>
          <w:color w:val="auto"/>
          <w:szCs w:val="21"/>
          <w:highlight w:val="none"/>
        </w:rPr>
        <w:t>行长助理</w:t>
      </w:r>
      <w:r>
        <w:rPr>
          <w:rFonts w:eastAsia="仿宋_GB2312"/>
          <w:color w:val="auto"/>
          <w:szCs w:val="21"/>
          <w:highlight w:val="none"/>
        </w:rPr>
        <w:tab/>
      </w:r>
      <w:r>
        <w:rPr>
          <w:rFonts w:eastAsia="仿宋_GB2312"/>
          <w:color w:val="auto"/>
          <w:szCs w:val="21"/>
          <w:highlight w:val="none"/>
        </w:rPr>
        <w:t>029-61828272</w:t>
      </w:r>
      <w:r>
        <w:rPr>
          <w:rFonts w:eastAsia="仿宋_GB2312"/>
          <w:color w:val="auto"/>
          <w:szCs w:val="21"/>
          <w:highlight w:val="none"/>
        </w:rPr>
        <w:tab/>
      </w:r>
      <w:r>
        <w:rPr>
          <w:rFonts w:eastAsia="仿宋_GB2312"/>
          <w:color w:val="auto"/>
          <w:szCs w:val="21"/>
          <w:highlight w:val="none"/>
        </w:rPr>
        <w:t>13991990373</w:t>
      </w:r>
    </w:p>
    <w:p>
      <w:pPr>
        <w:ind w:firstLine="420" w:firstLineChars="200"/>
        <w:rPr>
          <w:rFonts w:eastAsia="仿宋_GB2312"/>
          <w:color w:val="auto"/>
          <w:szCs w:val="21"/>
          <w:highlight w:val="none"/>
        </w:rPr>
      </w:pPr>
      <w:r>
        <w:rPr>
          <w:rFonts w:eastAsia="仿宋_GB2312"/>
          <w:color w:val="auto"/>
          <w:szCs w:val="21"/>
          <w:highlight w:val="none"/>
        </w:rPr>
        <w:t>西安长缨路支行</w:t>
      </w:r>
      <w:r>
        <w:rPr>
          <w:rFonts w:eastAsia="仿宋_GB2312"/>
          <w:color w:val="auto"/>
          <w:szCs w:val="21"/>
          <w:highlight w:val="none"/>
        </w:rPr>
        <w:tab/>
      </w:r>
      <w:r>
        <w:rPr>
          <w:rFonts w:eastAsia="仿宋_GB2312"/>
          <w:color w:val="auto"/>
          <w:szCs w:val="21"/>
          <w:highlight w:val="none"/>
        </w:rPr>
        <w:t xml:space="preserve">        范凯</w:t>
      </w:r>
      <w:r>
        <w:rPr>
          <w:rFonts w:eastAsia="仿宋_GB2312"/>
          <w:color w:val="auto"/>
          <w:szCs w:val="21"/>
          <w:highlight w:val="none"/>
        </w:rPr>
        <w:tab/>
      </w:r>
      <w:r>
        <w:rPr>
          <w:rFonts w:eastAsia="仿宋_GB2312"/>
          <w:color w:val="auto"/>
          <w:szCs w:val="21"/>
          <w:highlight w:val="none"/>
        </w:rPr>
        <w:t>副行长</w:t>
      </w:r>
      <w:r>
        <w:rPr>
          <w:rFonts w:eastAsia="仿宋_GB2312"/>
          <w:color w:val="auto"/>
          <w:szCs w:val="21"/>
          <w:highlight w:val="none"/>
        </w:rPr>
        <w:tab/>
      </w:r>
      <w:r>
        <w:rPr>
          <w:rFonts w:eastAsia="仿宋_GB2312"/>
          <w:color w:val="auto"/>
          <w:szCs w:val="21"/>
          <w:highlight w:val="none"/>
        </w:rPr>
        <w:t>029-68717760</w:t>
      </w:r>
      <w:r>
        <w:rPr>
          <w:rFonts w:eastAsia="仿宋_GB2312"/>
          <w:color w:val="auto"/>
          <w:szCs w:val="21"/>
          <w:highlight w:val="none"/>
        </w:rPr>
        <w:tab/>
      </w:r>
      <w:r>
        <w:rPr>
          <w:rFonts w:eastAsia="仿宋_GB2312"/>
          <w:color w:val="auto"/>
          <w:szCs w:val="21"/>
          <w:highlight w:val="none"/>
        </w:rPr>
        <w:t>13991315609</w:t>
      </w:r>
    </w:p>
    <w:p>
      <w:pPr>
        <w:ind w:firstLine="420" w:firstLineChars="200"/>
        <w:rPr>
          <w:rFonts w:eastAsia="仿宋_GB2312"/>
          <w:color w:val="auto"/>
          <w:szCs w:val="21"/>
          <w:highlight w:val="none"/>
        </w:rPr>
      </w:pPr>
      <w:r>
        <w:rPr>
          <w:rFonts w:eastAsia="仿宋_GB2312"/>
          <w:color w:val="auto"/>
          <w:szCs w:val="21"/>
          <w:highlight w:val="none"/>
        </w:rPr>
        <w:t xml:space="preserve">长安区西长安街支行   </w:t>
      </w:r>
      <w:r>
        <w:rPr>
          <w:rFonts w:eastAsia="仿宋_GB2312"/>
          <w:color w:val="auto"/>
          <w:szCs w:val="21"/>
          <w:highlight w:val="none"/>
        </w:rPr>
        <w:tab/>
      </w:r>
      <w:r>
        <w:rPr>
          <w:rFonts w:eastAsia="仿宋_GB2312"/>
          <w:color w:val="auto"/>
          <w:szCs w:val="21"/>
          <w:highlight w:val="none"/>
        </w:rPr>
        <w:t>陈明</w:t>
      </w:r>
      <w:r>
        <w:rPr>
          <w:rFonts w:eastAsia="仿宋_GB2312"/>
          <w:color w:val="auto"/>
          <w:szCs w:val="21"/>
          <w:highlight w:val="none"/>
        </w:rPr>
        <w:tab/>
      </w:r>
      <w:r>
        <w:rPr>
          <w:rFonts w:eastAsia="仿宋_GB2312"/>
          <w:color w:val="auto"/>
          <w:szCs w:val="21"/>
          <w:highlight w:val="none"/>
        </w:rPr>
        <w:t>行长助理</w:t>
      </w:r>
      <w:r>
        <w:rPr>
          <w:rFonts w:eastAsia="仿宋_GB2312"/>
          <w:color w:val="auto"/>
          <w:szCs w:val="21"/>
          <w:highlight w:val="none"/>
        </w:rPr>
        <w:tab/>
      </w:r>
      <w:r>
        <w:rPr>
          <w:rFonts w:eastAsia="仿宋_GB2312"/>
          <w:color w:val="auto"/>
          <w:szCs w:val="21"/>
          <w:highlight w:val="none"/>
        </w:rPr>
        <w:t>029-85724301</w:t>
      </w:r>
      <w:r>
        <w:rPr>
          <w:rFonts w:eastAsia="仿宋_GB2312"/>
          <w:color w:val="auto"/>
          <w:szCs w:val="21"/>
          <w:highlight w:val="none"/>
        </w:rPr>
        <w:tab/>
      </w:r>
      <w:r>
        <w:rPr>
          <w:rFonts w:eastAsia="仿宋_GB2312"/>
          <w:color w:val="auto"/>
          <w:szCs w:val="21"/>
          <w:highlight w:val="none"/>
        </w:rPr>
        <w:t>18149209660</w:t>
      </w:r>
    </w:p>
    <w:p>
      <w:pPr>
        <w:ind w:firstLine="420" w:firstLineChars="200"/>
        <w:rPr>
          <w:rFonts w:eastAsia="仿宋_GB2312"/>
          <w:color w:val="auto"/>
          <w:szCs w:val="21"/>
          <w:highlight w:val="none"/>
        </w:rPr>
      </w:pPr>
      <w:r>
        <w:rPr>
          <w:rFonts w:eastAsia="仿宋_GB2312"/>
          <w:color w:val="auto"/>
          <w:szCs w:val="21"/>
          <w:highlight w:val="none"/>
        </w:rPr>
        <w:t>泾渭工业园支行</w:t>
      </w:r>
      <w:r>
        <w:rPr>
          <w:rFonts w:eastAsia="仿宋_GB2312"/>
          <w:color w:val="auto"/>
          <w:szCs w:val="21"/>
          <w:highlight w:val="none"/>
        </w:rPr>
        <w:tab/>
      </w:r>
      <w:r>
        <w:rPr>
          <w:rFonts w:eastAsia="仿宋_GB2312"/>
          <w:color w:val="auto"/>
          <w:szCs w:val="21"/>
          <w:highlight w:val="none"/>
        </w:rPr>
        <w:t xml:space="preserve">        杨奕</w:t>
      </w:r>
      <w:r>
        <w:rPr>
          <w:rFonts w:eastAsia="仿宋_GB2312"/>
          <w:color w:val="auto"/>
          <w:szCs w:val="21"/>
          <w:highlight w:val="none"/>
        </w:rPr>
        <w:tab/>
      </w:r>
      <w:r>
        <w:rPr>
          <w:rFonts w:eastAsia="仿宋_GB2312"/>
          <w:color w:val="auto"/>
          <w:szCs w:val="21"/>
          <w:highlight w:val="none"/>
        </w:rPr>
        <w:t>室经理</w:t>
      </w:r>
      <w:r>
        <w:rPr>
          <w:rFonts w:eastAsia="仿宋_GB2312"/>
          <w:color w:val="auto"/>
          <w:szCs w:val="21"/>
          <w:highlight w:val="none"/>
        </w:rPr>
        <w:tab/>
      </w:r>
      <w:r>
        <w:rPr>
          <w:rFonts w:eastAsia="仿宋_GB2312"/>
          <w:color w:val="auto"/>
          <w:szCs w:val="21"/>
          <w:highlight w:val="none"/>
        </w:rPr>
        <w:t>029-68213773</w:t>
      </w:r>
      <w:r>
        <w:rPr>
          <w:rFonts w:eastAsia="仿宋_GB2312"/>
          <w:color w:val="auto"/>
          <w:szCs w:val="21"/>
          <w:highlight w:val="none"/>
        </w:rPr>
        <w:tab/>
      </w:r>
      <w:r>
        <w:rPr>
          <w:rFonts w:eastAsia="仿宋_GB2312"/>
          <w:color w:val="auto"/>
          <w:szCs w:val="21"/>
          <w:highlight w:val="none"/>
        </w:rPr>
        <w:t>15934802021</w:t>
      </w:r>
    </w:p>
    <w:p>
      <w:pPr>
        <w:ind w:firstLine="420" w:firstLineChars="200"/>
        <w:rPr>
          <w:rFonts w:eastAsia="仿宋_GB2312"/>
          <w:color w:val="auto"/>
          <w:szCs w:val="21"/>
          <w:highlight w:val="none"/>
        </w:rPr>
      </w:pPr>
      <w:r>
        <w:rPr>
          <w:rFonts w:eastAsia="仿宋_GB2312"/>
          <w:color w:val="auto"/>
          <w:szCs w:val="21"/>
          <w:highlight w:val="none"/>
        </w:rPr>
        <w:t>北客站科技支行</w:t>
      </w:r>
      <w:r>
        <w:rPr>
          <w:rFonts w:eastAsia="仿宋_GB2312"/>
          <w:color w:val="auto"/>
          <w:szCs w:val="21"/>
          <w:highlight w:val="none"/>
        </w:rPr>
        <w:tab/>
      </w:r>
      <w:r>
        <w:rPr>
          <w:rFonts w:eastAsia="仿宋_GB2312"/>
          <w:color w:val="auto"/>
          <w:szCs w:val="21"/>
          <w:highlight w:val="none"/>
        </w:rPr>
        <w:t xml:space="preserve">        周洁</w:t>
      </w:r>
      <w:r>
        <w:rPr>
          <w:rFonts w:eastAsia="仿宋_GB2312"/>
          <w:color w:val="auto"/>
          <w:szCs w:val="21"/>
          <w:highlight w:val="none"/>
        </w:rPr>
        <w:tab/>
      </w:r>
      <w:r>
        <w:rPr>
          <w:rFonts w:eastAsia="仿宋_GB2312"/>
          <w:color w:val="auto"/>
          <w:szCs w:val="21"/>
          <w:highlight w:val="none"/>
        </w:rPr>
        <w:t>副行长</w:t>
      </w:r>
      <w:r>
        <w:rPr>
          <w:rFonts w:eastAsia="仿宋_GB2312"/>
          <w:color w:val="auto"/>
          <w:szCs w:val="21"/>
          <w:highlight w:val="none"/>
        </w:rPr>
        <w:tab/>
      </w:r>
      <w:r>
        <w:rPr>
          <w:rFonts w:eastAsia="仿宋_GB2312"/>
          <w:color w:val="auto"/>
          <w:szCs w:val="21"/>
          <w:highlight w:val="none"/>
        </w:rPr>
        <w:t>029-61828129</w:t>
      </w:r>
      <w:r>
        <w:rPr>
          <w:rFonts w:eastAsia="仿宋_GB2312"/>
          <w:color w:val="auto"/>
          <w:szCs w:val="21"/>
          <w:highlight w:val="none"/>
        </w:rPr>
        <w:tab/>
      </w:r>
      <w:r>
        <w:rPr>
          <w:rFonts w:eastAsia="仿宋_GB2312"/>
          <w:color w:val="auto"/>
          <w:szCs w:val="21"/>
          <w:highlight w:val="none"/>
        </w:rPr>
        <w:t>18629518636</w:t>
      </w:r>
    </w:p>
    <w:p>
      <w:pPr>
        <w:ind w:firstLine="420" w:firstLineChars="200"/>
        <w:rPr>
          <w:rFonts w:eastAsia="仿宋_GB2312"/>
          <w:color w:val="auto"/>
          <w:szCs w:val="21"/>
          <w:highlight w:val="none"/>
        </w:rPr>
      </w:pPr>
      <w:r>
        <w:rPr>
          <w:rFonts w:eastAsia="仿宋_GB2312"/>
          <w:color w:val="auto"/>
          <w:szCs w:val="21"/>
          <w:highlight w:val="none"/>
        </w:rPr>
        <w:t>解放路支行</w:t>
      </w:r>
      <w:r>
        <w:rPr>
          <w:rFonts w:eastAsia="仿宋_GB2312"/>
          <w:color w:val="auto"/>
          <w:szCs w:val="21"/>
          <w:highlight w:val="none"/>
        </w:rPr>
        <w:tab/>
      </w:r>
      <w:r>
        <w:rPr>
          <w:rFonts w:eastAsia="仿宋_GB2312"/>
          <w:color w:val="auto"/>
          <w:szCs w:val="21"/>
          <w:highlight w:val="none"/>
        </w:rPr>
        <w:t xml:space="preserve">            王莉</w:t>
      </w:r>
      <w:r>
        <w:rPr>
          <w:rFonts w:eastAsia="仿宋_GB2312"/>
          <w:color w:val="auto"/>
          <w:szCs w:val="21"/>
          <w:highlight w:val="none"/>
        </w:rPr>
        <w:tab/>
      </w:r>
      <w:r>
        <w:rPr>
          <w:rFonts w:eastAsia="仿宋_GB2312"/>
          <w:color w:val="auto"/>
          <w:szCs w:val="21"/>
          <w:highlight w:val="none"/>
        </w:rPr>
        <w:t>行长助理</w:t>
      </w:r>
      <w:r>
        <w:rPr>
          <w:rFonts w:eastAsia="仿宋_GB2312"/>
          <w:color w:val="auto"/>
          <w:szCs w:val="21"/>
          <w:highlight w:val="none"/>
        </w:rPr>
        <w:tab/>
      </w:r>
      <w:r>
        <w:rPr>
          <w:rFonts w:eastAsia="仿宋_GB2312"/>
          <w:color w:val="auto"/>
          <w:szCs w:val="21"/>
          <w:highlight w:val="none"/>
        </w:rPr>
        <w:t>029-61828185</w:t>
      </w:r>
      <w:r>
        <w:rPr>
          <w:rFonts w:eastAsia="仿宋_GB2312"/>
          <w:color w:val="auto"/>
          <w:szCs w:val="21"/>
          <w:highlight w:val="none"/>
        </w:rPr>
        <w:tab/>
      </w:r>
      <w:r>
        <w:rPr>
          <w:rFonts w:eastAsia="仿宋_GB2312"/>
          <w:color w:val="auto"/>
          <w:szCs w:val="21"/>
          <w:highlight w:val="none"/>
        </w:rPr>
        <w:t>15802966196</w:t>
      </w:r>
    </w:p>
    <w:p>
      <w:pPr>
        <w:ind w:firstLine="420" w:firstLineChars="200"/>
        <w:rPr>
          <w:rFonts w:eastAsia="仿宋_GB2312"/>
          <w:color w:val="auto"/>
          <w:szCs w:val="21"/>
          <w:highlight w:val="none"/>
        </w:rPr>
      </w:pPr>
      <w:r>
        <w:rPr>
          <w:rFonts w:eastAsia="仿宋_GB2312"/>
          <w:color w:val="auto"/>
          <w:szCs w:val="21"/>
          <w:highlight w:val="none"/>
        </w:rPr>
        <w:t>延安分行</w:t>
      </w:r>
      <w:r>
        <w:rPr>
          <w:rFonts w:eastAsia="仿宋_GB2312"/>
          <w:color w:val="auto"/>
          <w:szCs w:val="21"/>
          <w:highlight w:val="none"/>
        </w:rPr>
        <w:tab/>
      </w:r>
      <w:r>
        <w:rPr>
          <w:rFonts w:eastAsia="仿宋_GB2312"/>
          <w:color w:val="auto"/>
          <w:szCs w:val="21"/>
          <w:highlight w:val="none"/>
        </w:rPr>
        <w:t xml:space="preserve">            奥宝森</w:t>
      </w:r>
      <w:r>
        <w:rPr>
          <w:rFonts w:eastAsia="仿宋_GB2312"/>
          <w:color w:val="auto"/>
          <w:szCs w:val="21"/>
          <w:highlight w:val="none"/>
        </w:rPr>
        <w:tab/>
      </w:r>
      <w:r>
        <w:rPr>
          <w:rFonts w:eastAsia="仿宋_GB2312"/>
          <w:color w:val="auto"/>
          <w:szCs w:val="21"/>
          <w:highlight w:val="none"/>
        </w:rPr>
        <w:t>室经理</w:t>
      </w:r>
      <w:r>
        <w:rPr>
          <w:rFonts w:eastAsia="仿宋_GB2312"/>
          <w:color w:val="auto"/>
          <w:szCs w:val="21"/>
          <w:highlight w:val="none"/>
        </w:rPr>
        <w:tab/>
      </w:r>
      <w:r>
        <w:rPr>
          <w:rFonts w:eastAsia="仿宋_GB2312"/>
          <w:color w:val="auto"/>
          <w:szCs w:val="21"/>
          <w:highlight w:val="none"/>
        </w:rPr>
        <w:t>0911-8076038</w:t>
      </w:r>
      <w:r>
        <w:rPr>
          <w:rFonts w:eastAsia="仿宋_GB2312"/>
          <w:color w:val="auto"/>
          <w:szCs w:val="21"/>
          <w:highlight w:val="none"/>
        </w:rPr>
        <w:tab/>
      </w:r>
      <w:r>
        <w:rPr>
          <w:rFonts w:eastAsia="仿宋_GB2312"/>
          <w:color w:val="auto"/>
          <w:szCs w:val="21"/>
          <w:highlight w:val="none"/>
        </w:rPr>
        <w:t>15592925222</w:t>
      </w:r>
    </w:p>
    <w:p>
      <w:pPr>
        <w:rPr>
          <w:rFonts w:eastAsia="仿宋_GB2312"/>
          <w:b/>
          <w:color w:val="auto"/>
          <w:szCs w:val="21"/>
          <w:highlight w:val="none"/>
        </w:rPr>
      </w:pPr>
      <w:r>
        <w:rPr>
          <w:rFonts w:eastAsia="仿宋_GB2312"/>
          <w:b/>
          <w:color w:val="auto"/>
          <w:szCs w:val="21"/>
          <w:highlight w:val="none"/>
        </w:rPr>
        <w:t>三、工商银行（政采贷）</w:t>
      </w:r>
    </w:p>
    <w:p>
      <w:pPr>
        <w:ind w:firstLine="420" w:firstLineChars="200"/>
        <w:rPr>
          <w:rFonts w:eastAsia="仿宋_GB2312"/>
          <w:color w:val="auto"/>
          <w:szCs w:val="21"/>
          <w:highlight w:val="none"/>
        </w:rPr>
      </w:pPr>
      <w:r>
        <w:rPr>
          <w:rFonts w:eastAsia="仿宋_GB2312"/>
          <w:color w:val="auto"/>
          <w:szCs w:val="21"/>
          <w:highlight w:val="none"/>
        </w:rPr>
        <w:t>榆林分行</w:t>
      </w:r>
      <w:r>
        <w:rPr>
          <w:rFonts w:eastAsia="仿宋_GB2312"/>
          <w:color w:val="auto"/>
          <w:szCs w:val="21"/>
          <w:highlight w:val="none"/>
        </w:rPr>
        <w:tab/>
      </w:r>
      <w:r>
        <w:rPr>
          <w:rFonts w:eastAsia="仿宋_GB2312"/>
          <w:color w:val="auto"/>
          <w:szCs w:val="21"/>
          <w:highlight w:val="none"/>
        </w:rPr>
        <w:t>张岭</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0912-6183827</w:t>
      </w:r>
      <w:r>
        <w:rPr>
          <w:rFonts w:eastAsia="仿宋_GB2312"/>
          <w:color w:val="auto"/>
          <w:szCs w:val="21"/>
          <w:highlight w:val="none"/>
        </w:rPr>
        <w:tab/>
      </w:r>
      <w:r>
        <w:rPr>
          <w:rFonts w:eastAsia="仿宋_GB2312"/>
          <w:color w:val="auto"/>
          <w:szCs w:val="21"/>
          <w:highlight w:val="none"/>
        </w:rPr>
        <w:t>15353386777</w:t>
      </w:r>
    </w:p>
    <w:p>
      <w:pPr>
        <w:ind w:firstLine="420" w:firstLineChars="200"/>
        <w:rPr>
          <w:rFonts w:eastAsia="仿宋_GB2312"/>
          <w:color w:val="auto"/>
          <w:szCs w:val="21"/>
          <w:highlight w:val="none"/>
        </w:rPr>
      </w:pPr>
      <w:r>
        <w:rPr>
          <w:rFonts w:eastAsia="仿宋_GB2312"/>
          <w:color w:val="auto"/>
          <w:szCs w:val="21"/>
          <w:highlight w:val="none"/>
        </w:rPr>
        <w:t>宝鸡分行</w:t>
      </w:r>
      <w:r>
        <w:rPr>
          <w:rFonts w:eastAsia="仿宋_GB2312"/>
          <w:color w:val="auto"/>
          <w:szCs w:val="21"/>
          <w:highlight w:val="none"/>
        </w:rPr>
        <w:tab/>
      </w:r>
      <w:r>
        <w:rPr>
          <w:rFonts w:eastAsia="仿宋_GB2312"/>
          <w:color w:val="auto"/>
          <w:szCs w:val="21"/>
          <w:highlight w:val="none"/>
        </w:rPr>
        <w:t>郭进</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0917-3238282</w:t>
      </w:r>
      <w:r>
        <w:rPr>
          <w:rFonts w:eastAsia="仿宋_GB2312"/>
          <w:color w:val="auto"/>
          <w:szCs w:val="21"/>
          <w:highlight w:val="none"/>
        </w:rPr>
        <w:tab/>
      </w:r>
      <w:r>
        <w:rPr>
          <w:rFonts w:eastAsia="仿宋_GB2312"/>
          <w:color w:val="auto"/>
          <w:szCs w:val="21"/>
          <w:highlight w:val="none"/>
        </w:rPr>
        <w:t>18991749262</w:t>
      </w:r>
    </w:p>
    <w:p>
      <w:pPr>
        <w:ind w:firstLine="420" w:firstLineChars="200"/>
        <w:rPr>
          <w:rFonts w:eastAsia="仿宋_GB2312"/>
          <w:color w:val="auto"/>
          <w:szCs w:val="21"/>
          <w:highlight w:val="none"/>
        </w:rPr>
      </w:pPr>
      <w:r>
        <w:rPr>
          <w:rFonts w:eastAsia="仿宋_GB2312"/>
          <w:color w:val="auto"/>
          <w:szCs w:val="21"/>
          <w:highlight w:val="none"/>
        </w:rPr>
        <w:t>安康分行</w:t>
      </w:r>
      <w:r>
        <w:rPr>
          <w:rFonts w:eastAsia="仿宋_GB2312"/>
          <w:color w:val="auto"/>
          <w:szCs w:val="21"/>
          <w:highlight w:val="none"/>
        </w:rPr>
        <w:tab/>
      </w:r>
      <w:r>
        <w:rPr>
          <w:rFonts w:eastAsia="仿宋_GB2312"/>
          <w:color w:val="auto"/>
          <w:szCs w:val="21"/>
          <w:highlight w:val="none"/>
        </w:rPr>
        <w:t>郑婕</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0915-3236275</w:t>
      </w:r>
      <w:r>
        <w:rPr>
          <w:rFonts w:eastAsia="仿宋_GB2312"/>
          <w:color w:val="auto"/>
          <w:szCs w:val="21"/>
          <w:highlight w:val="none"/>
        </w:rPr>
        <w:tab/>
      </w:r>
      <w:r>
        <w:rPr>
          <w:rFonts w:eastAsia="仿宋_GB2312"/>
          <w:color w:val="auto"/>
          <w:szCs w:val="21"/>
          <w:highlight w:val="none"/>
        </w:rPr>
        <w:t>15667856663</w:t>
      </w:r>
    </w:p>
    <w:p>
      <w:pPr>
        <w:ind w:firstLine="420" w:firstLineChars="200"/>
        <w:rPr>
          <w:rFonts w:eastAsia="仿宋_GB2312"/>
          <w:color w:val="auto"/>
          <w:szCs w:val="21"/>
          <w:highlight w:val="none"/>
        </w:rPr>
      </w:pPr>
      <w:r>
        <w:rPr>
          <w:rFonts w:eastAsia="仿宋_GB2312"/>
          <w:color w:val="auto"/>
          <w:szCs w:val="21"/>
          <w:highlight w:val="none"/>
        </w:rPr>
        <w:t>铜川分行</w:t>
      </w:r>
      <w:r>
        <w:rPr>
          <w:rFonts w:eastAsia="仿宋_GB2312"/>
          <w:color w:val="auto"/>
          <w:szCs w:val="21"/>
          <w:highlight w:val="none"/>
        </w:rPr>
        <w:tab/>
      </w:r>
      <w:r>
        <w:rPr>
          <w:rFonts w:eastAsia="仿宋_GB2312"/>
          <w:color w:val="auto"/>
          <w:szCs w:val="21"/>
          <w:highlight w:val="none"/>
        </w:rPr>
        <w:t>彭东东</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0919-2151878</w:t>
      </w:r>
      <w:r>
        <w:rPr>
          <w:rFonts w:eastAsia="仿宋_GB2312"/>
          <w:color w:val="auto"/>
          <w:szCs w:val="21"/>
          <w:highlight w:val="none"/>
        </w:rPr>
        <w:tab/>
      </w:r>
      <w:r>
        <w:rPr>
          <w:rFonts w:eastAsia="仿宋_GB2312"/>
          <w:color w:val="auto"/>
          <w:szCs w:val="21"/>
          <w:highlight w:val="none"/>
        </w:rPr>
        <w:t>17392898832</w:t>
      </w:r>
    </w:p>
    <w:p>
      <w:pPr>
        <w:ind w:firstLine="420" w:firstLineChars="200"/>
        <w:rPr>
          <w:rFonts w:eastAsia="仿宋_GB2312"/>
          <w:color w:val="auto"/>
          <w:szCs w:val="21"/>
          <w:highlight w:val="none"/>
        </w:rPr>
      </w:pPr>
      <w:r>
        <w:rPr>
          <w:rFonts w:eastAsia="仿宋_GB2312"/>
          <w:color w:val="auto"/>
          <w:szCs w:val="21"/>
          <w:highlight w:val="none"/>
        </w:rPr>
        <w:t>延安分行</w:t>
      </w:r>
      <w:r>
        <w:rPr>
          <w:rFonts w:eastAsia="仿宋_GB2312"/>
          <w:color w:val="auto"/>
          <w:szCs w:val="21"/>
          <w:highlight w:val="none"/>
        </w:rPr>
        <w:tab/>
      </w:r>
      <w:r>
        <w:rPr>
          <w:rFonts w:eastAsia="仿宋_GB2312"/>
          <w:color w:val="auto"/>
          <w:szCs w:val="21"/>
          <w:highlight w:val="none"/>
        </w:rPr>
        <w:t>党莹</w:t>
      </w:r>
      <w:r>
        <w:rPr>
          <w:rFonts w:eastAsia="仿宋_GB2312"/>
          <w:color w:val="auto"/>
          <w:szCs w:val="21"/>
          <w:highlight w:val="none"/>
        </w:rPr>
        <w:tab/>
      </w:r>
      <w:r>
        <w:rPr>
          <w:rFonts w:eastAsia="仿宋_GB2312"/>
          <w:color w:val="auto"/>
          <w:szCs w:val="21"/>
          <w:highlight w:val="none"/>
        </w:rPr>
        <w:t>经理助理</w:t>
      </w:r>
      <w:r>
        <w:rPr>
          <w:rFonts w:eastAsia="仿宋_GB2312"/>
          <w:color w:val="auto"/>
          <w:szCs w:val="21"/>
          <w:highlight w:val="none"/>
        </w:rPr>
        <w:tab/>
      </w:r>
      <w:r>
        <w:rPr>
          <w:rFonts w:eastAsia="仿宋_GB2312"/>
          <w:color w:val="auto"/>
          <w:szCs w:val="21"/>
          <w:highlight w:val="none"/>
        </w:rPr>
        <w:t>0911-2380826</w:t>
      </w:r>
      <w:r>
        <w:rPr>
          <w:rFonts w:eastAsia="仿宋_GB2312"/>
          <w:color w:val="auto"/>
          <w:szCs w:val="21"/>
          <w:highlight w:val="none"/>
        </w:rPr>
        <w:tab/>
      </w:r>
      <w:r>
        <w:rPr>
          <w:rFonts w:eastAsia="仿宋_GB2312"/>
          <w:color w:val="auto"/>
          <w:szCs w:val="21"/>
          <w:highlight w:val="none"/>
        </w:rPr>
        <w:t>15291142933</w:t>
      </w:r>
    </w:p>
    <w:p>
      <w:pPr>
        <w:ind w:firstLine="420" w:firstLineChars="200"/>
        <w:rPr>
          <w:rFonts w:eastAsia="仿宋_GB2312"/>
          <w:color w:val="auto"/>
          <w:szCs w:val="21"/>
          <w:highlight w:val="none"/>
        </w:rPr>
      </w:pPr>
      <w:r>
        <w:rPr>
          <w:rFonts w:eastAsia="仿宋_GB2312"/>
          <w:color w:val="auto"/>
          <w:szCs w:val="21"/>
          <w:highlight w:val="none"/>
        </w:rPr>
        <w:t>汉中分行</w:t>
      </w:r>
      <w:r>
        <w:rPr>
          <w:rFonts w:eastAsia="仿宋_GB2312"/>
          <w:color w:val="auto"/>
          <w:szCs w:val="21"/>
          <w:highlight w:val="none"/>
        </w:rPr>
        <w:tab/>
      </w:r>
      <w:r>
        <w:rPr>
          <w:rFonts w:eastAsia="仿宋_GB2312"/>
          <w:color w:val="auto"/>
          <w:szCs w:val="21"/>
          <w:highlight w:val="none"/>
        </w:rPr>
        <w:t>杨薇薇</w:t>
      </w:r>
      <w:r>
        <w:rPr>
          <w:rFonts w:eastAsia="仿宋_GB2312"/>
          <w:color w:val="auto"/>
          <w:szCs w:val="21"/>
          <w:highlight w:val="none"/>
        </w:rPr>
        <w:tab/>
      </w:r>
      <w:r>
        <w:rPr>
          <w:rFonts w:eastAsia="仿宋_GB2312"/>
          <w:color w:val="auto"/>
          <w:szCs w:val="21"/>
          <w:highlight w:val="none"/>
        </w:rPr>
        <w:t>部门副经理</w:t>
      </w:r>
      <w:r>
        <w:rPr>
          <w:rFonts w:eastAsia="仿宋_GB2312"/>
          <w:color w:val="auto"/>
          <w:szCs w:val="21"/>
          <w:highlight w:val="none"/>
        </w:rPr>
        <w:tab/>
      </w:r>
      <w:r>
        <w:rPr>
          <w:rFonts w:eastAsia="仿宋_GB2312"/>
          <w:color w:val="auto"/>
          <w:szCs w:val="21"/>
          <w:highlight w:val="none"/>
        </w:rPr>
        <w:t>0916-2606773</w:t>
      </w:r>
      <w:r>
        <w:rPr>
          <w:rFonts w:eastAsia="仿宋_GB2312"/>
          <w:color w:val="auto"/>
          <w:szCs w:val="21"/>
          <w:highlight w:val="none"/>
        </w:rPr>
        <w:tab/>
      </w:r>
      <w:r>
        <w:rPr>
          <w:rFonts w:eastAsia="仿宋_GB2312"/>
          <w:color w:val="auto"/>
          <w:szCs w:val="21"/>
          <w:highlight w:val="none"/>
        </w:rPr>
        <w:t>18591607453</w:t>
      </w:r>
    </w:p>
    <w:p>
      <w:pPr>
        <w:ind w:firstLine="420" w:firstLineChars="200"/>
        <w:rPr>
          <w:rFonts w:eastAsia="仿宋_GB2312"/>
          <w:color w:val="auto"/>
          <w:szCs w:val="21"/>
          <w:highlight w:val="none"/>
        </w:rPr>
      </w:pPr>
      <w:r>
        <w:rPr>
          <w:rFonts w:eastAsia="仿宋_GB2312"/>
          <w:color w:val="auto"/>
          <w:szCs w:val="21"/>
          <w:highlight w:val="none"/>
        </w:rPr>
        <w:t>渭南分行</w:t>
      </w:r>
      <w:r>
        <w:rPr>
          <w:rFonts w:eastAsia="仿宋_GB2312"/>
          <w:color w:val="auto"/>
          <w:szCs w:val="21"/>
          <w:highlight w:val="none"/>
        </w:rPr>
        <w:tab/>
      </w:r>
      <w:r>
        <w:rPr>
          <w:rFonts w:eastAsia="仿宋_GB2312"/>
          <w:color w:val="auto"/>
          <w:szCs w:val="21"/>
          <w:highlight w:val="none"/>
        </w:rPr>
        <w:t>张欢</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09132095066</w:t>
      </w:r>
      <w:r>
        <w:rPr>
          <w:rFonts w:eastAsia="仿宋_GB2312"/>
          <w:color w:val="auto"/>
          <w:szCs w:val="21"/>
          <w:highlight w:val="none"/>
        </w:rPr>
        <w:tab/>
      </w:r>
      <w:r>
        <w:rPr>
          <w:rFonts w:eastAsia="仿宋_GB2312"/>
          <w:color w:val="auto"/>
          <w:szCs w:val="21"/>
          <w:highlight w:val="none"/>
        </w:rPr>
        <w:t>15229730006</w:t>
      </w:r>
    </w:p>
    <w:p>
      <w:pPr>
        <w:ind w:firstLine="420" w:firstLineChars="200"/>
        <w:rPr>
          <w:rFonts w:eastAsia="仿宋_GB2312"/>
          <w:color w:val="auto"/>
          <w:szCs w:val="21"/>
          <w:highlight w:val="none"/>
        </w:rPr>
      </w:pPr>
      <w:r>
        <w:rPr>
          <w:rFonts w:eastAsia="仿宋_GB2312"/>
          <w:color w:val="auto"/>
          <w:szCs w:val="21"/>
          <w:highlight w:val="none"/>
        </w:rPr>
        <w:t>咸阳分行</w:t>
      </w:r>
      <w:r>
        <w:rPr>
          <w:rFonts w:eastAsia="仿宋_GB2312"/>
          <w:color w:val="auto"/>
          <w:szCs w:val="21"/>
          <w:highlight w:val="none"/>
        </w:rPr>
        <w:tab/>
      </w:r>
      <w:r>
        <w:rPr>
          <w:rFonts w:eastAsia="仿宋_GB2312"/>
          <w:color w:val="auto"/>
          <w:szCs w:val="21"/>
          <w:highlight w:val="none"/>
        </w:rPr>
        <w:t>袁霖</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029-33259370</w:t>
      </w:r>
      <w:r>
        <w:rPr>
          <w:rFonts w:eastAsia="仿宋_GB2312"/>
          <w:color w:val="auto"/>
          <w:szCs w:val="21"/>
          <w:highlight w:val="none"/>
        </w:rPr>
        <w:tab/>
      </w:r>
      <w:r>
        <w:rPr>
          <w:rFonts w:eastAsia="仿宋_GB2312"/>
          <w:color w:val="auto"/>
          <w:szCs w:val="21"/>
          <w:highlight w:val="none"/>
        </w:rPr>
        <w:t>18591006506</w:t>
      </w:r>
    </w:p>
    <w:p>
      <w:pPr>
        <w:ind w:firstLine="420" w:firstLineChars="200"/>
        <w:rPr>
          <w:rFonts w:eastAsia="仿宋_GB2312"/>
          <w:color w:val="auto"/>
          <w:szCs w:val="21"/>
          <w:highlight w:val="none"/>
        </w:rPr>
      </w:pPr>
      <w:r>
        <w:rPr>
          <w:rFonts w:eastAsia="仿宋_GB2312"/>
          <w:color w:val="auto"/>
          <w:szCs w:val="21"/>
          <w:highlight w:val="none"/>
        </w:rPr>
        <w:t>商洛分行</w:t>
      </w:r>
      <w:r>
        <w:rPr>
          <w:rFonts w:eastAsia="仿宋_GB2312"/>
          <w:color w:val="auto"/>
          <w:szCs w:val="21"/>
          <w:highlight w:val="none"/>
        </w:rPr>
        <w:tab/>
      </w:r>
      <w:r>
        <w:rPr>
          <w:rFonts w:eastAsia="仿宋_GB2312"/>
          <w:color w:val="auto"/>
          <w:szCs w:val="21"/>
          <w:highlight w:val="none"/>
        </w:rPr>
        <w:t>张铮</w:t>
      </w:r>
      <w:r>
        <w:rPr>
          <w:rFonts w:eastAsia="仿宋_GB2312"/>
          <w:color w:val="auto"/>
          <w:szCs w:val="21"/>
          <w:highlight w:val="none"/>
        </w:rPr>
        <w:tab/>
      </w:r>
      <w:r>
        <w:rPr>
          <w:rFonts w:eastAsia="仿宋_GB2312"/>
          <w:color w:val="auto"/>
          <w:szCs w:val="21"/>
          <w:highlight w:val="none"/>
        </w:rPr>
        <w:t>经理助理</w:t>
      </w:r>
      <w:r>
        <w:rPr>
          <w:rFonts w:eastAsia="仿宋_GB2312"/>
          <w:color w:val="auto"/>
          <w:szCs w:val="21"/>
          <w:highlight w:val="none"/>
        </w:rPr>
        <w:tab/>
      </w:r>
      <w:r>
        <w:rPr>
          <w:rFonts w:eastAsia="仿宋_GB2312"/>
          <w:color w:val="auto"/>
          <w:szCs w:val="21"/>
          <w:highlight w:val="none"/>
        </w:rPr>
        <w:t>0914-2310908</w:t>
      </w:r>
      <w:r>
        <w:rPr>
          <w:rFonts w:eastAsia="仿宋_GB2312"/>
          <w:color w:val="auto"/>
          <w:szCs w:val="21"/>
          <w:highlight w:val="none"/>
        </w:rPr>
        <w:tab/>
      </w:r>
      <w:r>
        <w:rPr>
          <w:rFonts w:eastAsia="仿宋_GB2312"/>
          <w:color w:val="auto"/>
          <w:szCs w:val="21"/>
          <w:highlight w:val="none"/>
        </w:rPr>
        <w:t>18691410305</w:t>
      </w:r>
    </w:p>
    <w:p>
      <w:pPr>
        <w:ind w:firstLine="420" w:firstLineChars="200"/>
        <w:rPr>
          <w:rFonts w:eastAsia="仿宋_GB2312"/>
          <w:color w:val="auto"/>
          <w:szCs w:val="21"/>
          <w:highlight w:val="none"/>
        </w:rPr>
      </w:pPr>
      <w:r>
        <w:rPr>
          <w:rFonts w:eastAsia="仿宋_GB2312"/>
          <w:color w:val="auto"/>
          <w:szCs w:val="21"/>
          <w:highlight w:val="none"/>
        </w:rPr>
        <w:t>商洛分行</w:t>
      </w:r>
      <w:r>
        <w:rPr>
          <w:rFonts w:eastAsia="仿宋_GB2312"/>
          <w:color w:val="auto"/>
          <w:szCs w:val="21"/>
          <w:highlight w:val="none"/>
        </w:rPr>
        <w:tab/>
      </w:r>
      <w:r>
        <w:rPr>
          <w:rFonts w:eastAsia="仿宋_GB2312"/>
          <w:color w:val="auto"/>
          <w:szCs w:val="21"/>
          <w:highlight w:val="none"/>
        </w:rPr>
        <w:t>余勇博</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0914-2310908</w:t>
      </w:r>
      <w:r>
        <w:rPr>
          <w:rFonts w:eastAsia="仿宋_GB2312"/>
          <w:color w:val="auto"/>
          <w:szCs w:val="21"/>
          <w:highlight w:val="none"/>
        </w:rPr>
        <w:tab/>
      </w:r>
      <w:r>
        <w:rPr>
          <w:rFonts w:eastAsia="仿宋_GB2312"/>
          <w:color w:val="auto"/>
          <w:szCs w:val="21"/>
          <w:highlight w:val="none"/>
        </w:rPr>
        <w:t>18092802280</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巩越</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029-87609419</w:t>
      </w:r>
      <w:r>
        <w:rPr>
          <w:rFonts w:eastAsia="仿宋_GB2312"/>
          <w:color w:val="auto"/>
          <w:szCs w:val="21"/>
          <w:highlight w:val="none"/>
        </w:rPr>
        <w:tab/>
      </w:r>
      <w:r>
        <w:rPr>
          <w:rFonts w:eastAsia="仿宋_GB2312"/>
          <w:color w:val="auto"/>
          <w:szCs w:val="21"/>
          <w:highlight w:val="none"/>
        </w:rPr>
        <w:t>18629450680</w:t>
      </w:r>
    </w:p>
    <w:p>
      <w:pPr>
        <w:rPr>
          <w:rFonts w:eastAsia="仿宋_GB2312"/>
          <w:b/>
          <w:color w:val="auto"/>
          <w:szCs w:val="21"/>
          <w:highlight w:val="none"/>
        </w:rPr>
      </w:pPr>
      <w:r>
        <w:rPr>
          <w:rFonts w:eastAsia="仿宋_GB2312"/>
          <w:b/>
          <w:color w:val="auto"/>
          <w:szCs w:val="21"/>
          <w:highlight w:val="none"/>
        </w:rPr>
        <w:t>四、中信银行 （政采e贷）</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西安市朱雀大街中段1号</w:t>
      </w:r>
      <w:r>
        <w:rPr>
          <w:rFonts w:eastAsia="仿宋_GB2312"/>
          <w:color w:val="auto"/>
          <w:szCs w:val="21"/>
          <w:highlight w:val="none"/>
        </w:rPr>
        <w:tab/>
      </w:r>
      <w:r>
        <w:rPr>
          <w:rFonts w:eastAsia="仿宋_GB2312"/>
          <w:color w:val="auto"/>
          <w:szCs w:val="21"/>
          <w:highlight w:val="none"/>
        </w:rPr>
        <w:t>曹晓聪</w:t>
      </w:r>
      <w:r>
        <w:rPr>
          <w:rFonts w:eastAsia="仿宋_GB2312"/>
          <w:color w:val="auto"/>
          <w:szCs w:val="21"/>
          <w:highlight w:val="none"/>
        </w:rPr>
        <w:tab/>
      </w:r>
      <w:r>
        <w:rPr>
          <w:rFonts w:eastAsia="仿宋_GB2312"/>
          <w:color w:val="auto"/>
          <w:szCs w:val="21"/>
          <w:highlight w:val="none"/>
        </w:rPr>
        <w:t>13759957407</w:t>
      </w:r>
    </w:p>
    <w:p>
      <w:pPr>
        <w:ind w:firstLine="420" w:firstLineChars="200"/>
        <w:rPr>
          <w:rFonts w:eastAsia="仿宋_GB2312"/>
          <w:color w:val="auto"/>
          <w:szCs w:val="21"/>
          <w:highlight w:val="none"/>
        </w:rPr>
      </w:pPr>
      <w:r>
        <w:rPr>
          <w:rFonts w:eastAsia="仿宋_GB2312"/>
          <w:color w:val="auto"/>
          <w:szCs w:val="21"/>
          <w:highlight w:val="none"/>
        </w:rPr>
        <w:t>咸阳分行</w:t>
      </w:r>
      <w:r>
        <w:rPr>
          <w:rFonts w:eastAsia="仿宋_GB2312"/>
          <w:color w:val="auto"/>
          <w:szCs w:val="21"/>
          <w:highlight w:val="none"/>
        </w:rPr>
        <w:tab/>
      </w:r>
      <w:r>
        <w:rPr>
          <w:rFonts w:eastAsia="仿宋_GB2312"/>
          <w:color w:val="auto"/>
          <w:szCs w:val="21"/>
          <w:highlight w:val="none"/>
        </w:rPr>
        <w:t>秦皇中路绿苑大厦</w:t>
      </w:r>
      <w:r>
        <w:rPr>
          <w:rFonts w:eastAsia="仿宋_GB2312"/>
          <w:color w:val="auto"/>
          <w:szCs w:val="21"/>
          <w:highlight w:val="none"/>
        </w:rPr>
        <w:tab/>
      </w:r>
      <w:r>
        <w:rPr>
          <w:rFonts w:eastAsia="仿宋_GB2312"/>
          <w:color w:val="auto"/>
          <w:szCs w:val="21"/>
          <w:highlight w:val="none"/>
        </w:rPr>
        <w:t>杭群</w:t>
      </w:r>
      <w:r>
        <w:rPr>
          <w:rFonts w:eastAsia="仿宋_GB2312"/>
          <w:color w:val="auto"/>
          <w:szCs w:val="21"/>
          <w:highlight w:val="none"/>
        </w:rPr>
        <w:tab/>
      </w:r>
      <w:r>
        <w:rPr>
          <w:rFonts w:eastAsia="仿宋_GB2312"/>
          <w:color w:val="auto"/>
          <w:szCs w:val="21"/>
          <w:highlight w:val="none"/>
        </w:rPr>
        <w:t>13992016859</w:t>
      </w:r>
    </w:p>
    <w:p>
      <w:pPr>
        <w:ind w:firstLine="420" w:firstLineChars="200"/>
        <w:rPr>
          <w:rFonts w:eastAsia="仿宋_GB2312"/>
          <w:color w:val="auto"/>
          <w:szCs w:val="21"/>
          <w:highlight w:val="none"/>
        </w:rPr>
      </w:pPr>
      <w:r>
        <w:rPr>
          <w:rFonts w:eastAsia="仿宋_GB2312"/>
          <w:color w:val="auto"/>
          <w:szCs w:val="21"/>
          <w:highlight w:val="none"/>
        </w:rPr>
        <w:t>宝鸡分行</w:t>
      </w:r>
      <w:r>
        <w:rPr>
          <w:rFonts w:eastAsia="仿宋_GB2312"/>
          <w:color w:val="auto"/>
          <w:szCs w:val="21"/>
          <w:highlight w:val="none"/>
        </w:rPr>
        <w:tab/>
      </w:r>
      <w:r>
        <w:rPr>
          <w:rFonts w:eastAsia="仿宋_GB2312"/>
          <w:color w:val="auto"/>
          <w:szCs w:val="21"/>
          <w:highlight w:val="none"/>
        </w:rPr>
        <w:t>宝鸡市高新大道50号财富大厦B座</w:t>
      </w:r>
      <w:r>
        <w:rPr>
          <w:rFonts w:eastAsia="仿宋_GB2312"/>
          <w:color w:val="auto"/>
          <w:szCs w:val="21"/>
          <w:highlight w:val="none"/>
        </w:rPr>
        <w:tab/>
      </w:r>
      <w:r>
        <w:rPr>
          <w:rFonts w:eastAsia="仿宋_GB2312"/>
          <w:color w:val="auto"/>
          <w:szCs w:val="21"/>
          <w:highlight w:val="none"/>
        </w:rPr>
        <w:t>王尧</w:t>
      </w:r>
      <w:r>
        <w:rPr>
          <w:rFonts w:eastAsia="仿宋_GB2312"/>
          <w:color w:val="auto"/>
          <w:szCs w:val="21"/>
          <w:highlight w:val="none"/>
        </w:rPr>
        <w:tab/>
      </w:r>
      <w:r>
        <w:rPr>
          <w:rFonts w:eastAsia="仿宋_GB2312"/>
          <w:color w:val="auto"/>
          <w:szCs w:val="21"/>
          <w:highlight w:val="none"/>
        </w:rPr>
        <w:t>13636762976</w:t>
      </w:r>
    </w:p>
    <w:p>
      <w:pPr>
        <w:ind w:firstLine="420" w:firstLineChars="200"/>
        <w:rPr>
          <w:rFonts w:eastAsia="仿宋_GB2312"/>
          <w:color w:val="auto"/>
          <w:szCs w:val="21"/>
          <w:highlight w:val="none"/>
        </w:rPr>
      </w:pPr>
      <w:r>
        <w:rPr>
          <w:rFonts w:eastAsia="仿宋_GB2312"/>
          <w:color w:val="auto"/>
          <w:szCs w:val="21"/>
          <w:highlight w:val="none"/>
        </w:rPr>
        <w:t>渭南分行</w:t>
      </w:r>
      <w:r>
        <w:rPr>
          <w:rFonts w:eastAsia="仿宋_GB2312"/>
          <w:color w:val="auto"/>
          <w:szCs w:val="21"/>
          <w:highlight w:val="none"/>
        </w:rPr>
        <w:tab/>
      </w:r>
      <w:r>
        <w:rPr>
          <w:rFonts w:eastAsia="仿宋_GB2312"/>
          <w:color w:val="auto"/>
          <w:szCs w:val="21"/>
          <w:highlight w:val="none"/>
        </w:rPr>
        <w:t>渭南市朝阳大街中段信达广场世纪明珠大厦</w:t>
      </w:r>
      <w:r>
        <w:rPr>
          <w:rFonts w:eastAsia="仿宋_GB2312"/>
          <w:color w:val="auto"/>
          <w:szCs w:val="21"/>
          <w:highlight w:val="none"/>
        </w:rPr>
        <w:tab/>
      </w:r>
      <w:r>
        <w:rPr>
          <w:rFonts w:eastAsia="仿宋_GB2312"/>
          <w:color w:val="auto"/>
          <w:szCs w:val="21"/>
          <w:highlight w:val="none"/>
        </w:rPr>
        <w:t>杨阳</w:t>
      </w:r>
      <w:r>
        <w:rPr>
          <w:rFonts w:eastAsia="仿宋_GB2312"/>
          <w:color w:val="auto"/>
          <w:szCs w:val="21"/>
          <w:highlight w:val="none"/>
        </w:rPr>
        <w:tab/>
      </w:r>
      <w:r>
        <w:rPr>
          <w:rFonts w:eastAsia="仿宋_GB2312"/>
          <w:color w:val="auto"/>
          <w:szCs w:val="21"/>
          <w:highlight w:val="none"/>
        </w:rPr>
        <w:t>18191815559</w:t>
      </w:r>
    </w:p>
    <w:p>
      <w:pPr>
        <w:ind w:firstLine="420" w:firstLineChars="200"/>
        <w:rPr>
          <w:rFonts w:eastAsia="仿宋_GB2312"/>
          <w:color w:val="auto"/>
          <w:szCs w:val="21"/>
          <w:highlight w:val="none"/>
        </w:rPr>
      </w:pPr>
      <w:r>
        <w:rPr>
          <w:rFonts w:eastAsia="仿宋_GB2312"/>
          <w:color w:val="auto"/>
          <w:szCs w:val="21"/>
          <w:highlight w:val="none"/>
        </w:rPr>
        <w:t>榆林分行</w:t>
      </w:r>
      <w:r>
        <w:rPr>
          <w:rFonts w:eastAsia="仿宋_GB2312"/>
          <w:color w:val="auto"/>
          <w:szCs w:val="21"/>
          <w:highlight w:val="none"/>
        </w:rPr>
        <w:tab/>
      </w:r>
      <w:r>
        <w:rPr>
          <w:rFonts w:eastAsia="仿宋_GB2312"/>
          <w:color w:val="auto"/>
          <w:szCs w:val="21"/>
          <w:highlight w:val="none"/>
        </w:rPr>
        <w:t>榆林市高新区长兴路248号中信银行</w:t>
      </w:r>
      <w:r>
        <w:rPr>
          <w:rFonts w:eastAsia="仿宋_GB2312"/>
          <w:color w:val="auto"/>
          <w:szCs w:val="21"/>
          <w:highlight w:val="none"/>
        </w:rPr>
        <w:tab/>
      </w:r>
      <w:r>
        <w:rPr>
          <w:rFonts w:eastAsia="仿宋_GB2312"/>
          <w:color w:val="auto"/>
          <w:szCs w:val="21"/>
          <w:highlight w:val="none"/>
        </w:rPr>
        <w:t>刘洪巍</w:t>
      </w:r>
      <w:r>
        <w:rPr>
          <w:rFonts w:eastAsia="仿宋_GB2312"/>
          <w:color w:val="auto"/>
          <w:szCs w:val="21"/>
          <w:highlight w:val="none"/>
        </w:rPr>
        <w:tab/>
      </w:r>
      <w:r>
        <w:rPr>
          <w:rFonts w:eastAsia="仿宋_GB2312"/>
          <w:color w:val="auto"/>
          <w:szCs w:val="21"/>
          <w:highlight w:val="none"/>
        </w:rPr>
        <w:t>13636885556</w:t>
      </w:r>
    </w:p>
    <w:p>
      <w:pPr>
        <w:ind w:left="1680" w:leftChars="200" w:hanging="1260" w:hangingChars="600"/>
        <w:rPr>
          <w:rFonts w:eastAsia="仿宋_GB2312"/>
          <w:color w:val="auto"/>
          <w:szCs w:val="21"/>
          <w:highlight w:val="none"/>
        </w:rPr>
      </w:pPr>
      <w:r>
        <w:rPr>
          <w:rFonts w:eastAsia="仿宋_GB2312"/>
          <w:color w:val="auto"/>
          <w:szCs w:val="21"/>
          <w:highlight w:val="none"/>
        </w:rPr>
        <w:t>汉中分行</w:t>
      </w:r>
      <w:r>
        <w:rPr>
          <w:rFonts w:eastAsia="仿宋_GB2312"/>
          <w:color w:val="auto"/>
          <w:szCs w:val="21"/>
          <w:highlight w:val="none"/>
        </w:rPr>
        <w:tab/>
      </w:r>
      <w:r>
        <w:rPr>
          <w:rFonts w:eastAsia="仿宋_GB2312"/>
          <w:color w:val="auto"/>
          <w:szCs w:val="21"/>
          <w:highlight w:val="none"/>
        </w:rPr>
        <w:t>汉中市汉台区西二环路与劳动西路东南汉中滨江•公园壹号（产业孵化区）3B号楼</w:t>
      </w:r>
      <w:r>
        <w:rPr>
          <w:rFonts w:eastAsia="仿宋_GB2312"/>
          <w:color w:val="auto"/>
          <w:szCs w:val="21"/>
          <w:highlight w:val="none"/>
        </w:rPr>
        <w:tab/>
      </w:r>
      <w:r>
        <w:rPr>
          <w:rFonts w:eastAsia="仿宋_GB2312"/>
          <w:color w:val="auto"/>
          <w:szCs w:val="21"/>
          <w:highlight w:val="none"/>
        </w:rPr>
        <w:t>陈真</w:t>
      </w:r>
      <w:r>
        <w:rPr>
          <w:rFonts w:eastAsia="仿宋_GB2312"/>
          <w:color w:val="auto"/>
          <w:szCs w:val="21"/>
          <w:highlight w:val="none"/>
        </w:rPr>
        <w:tab/>
      </w:r>
      <w:r>
        <w:rPr>
          <w:rFonts w:eastAsia="仿宋_GB2312"/>
          <w:color w:val="auto"/>
          <w:szCs w:val="21"/>
          <w:highlight w:val="none"/>
        </w:rPr>
        <w:t>18509165068</w:t>
      </w:r>
    </w:p>
    <w:p>
      <w:pPr>
        <w:rPr>
          <w:rFonts w:eastAsia="仿宋_GB2312"/>
          <w:b/>
          <w:color w:val="auto"/>
          <w:szCs w:val="21"/>
          <w:highlight w:val="none"/>
        </w:rPr>
      </w:pPr>
      <w:r>
        <w:rPr>
          <w:rFonts w:eastAsia="仿宋_GB2312"/>
          <w:b/>
          <w:color w:val="auto"/>
          <w:szCs w:val="21"/>
          <w:highlight w:val="none"/>
        </w:rPr>
        <w:t>五、中国光大银行（阳光政采贷）</w:t>
      </w:r>
      <w:r>
        <w:rPr>
          <w:rFonts w:eastAsia="仿宋_GB2312"/>
          <w:b/>
          <w:color w:val="auto"/>
          <w:szCs w:val="21"/>
          <w:highlight w:val="none"/>
        </w:rPr>
        <w:tab/>
      </w:r>
      <w:r>
        <w:rPr>
          <w:rFonts w:eastAsia="仿宋_GB2312"/>
          <w:b/>
          <w:color w:val="auto"/>
          <w:szCs w:val="21"/>
          <w:highlight w:val="none"/>
        </w:rPr>
        <w:tab/>
      </w:r>
      <w:r>
        <w:rPr>
          <w:rFonts w:eastAsia="仿宋_GB2312"/>
          <w:b/>
          <w:color w:val="auto"/>
          <w:szCs w:val="21"/>
          <w:highlight w:val="none"/>
        </w:rPr>
        <w:tab/>
      </w:r>
      <w:r>
        <w:rPr>
          <w:rFonts w:eastAsia="仿宋_GB2312"/>
          <w:b/>
          <w:color w:val="auto"/>
          <w:szCs w:val="21"/>
          <w:highlight w:val="none"/>
        </w:rPr>
        <w:tab/>
      </w:r>
    </w:p>
    <w:p>
      <w:pPr>
        <w:ind w:firstLine="420" w:firstLineChars="200"/>
        <w:rPr>
          <w:rFonts w:eastAsia="仿宋_GB2312"/>
          <w:color w:val="auto"/>
          <w:szCs w:val="21"/>
          <w:highlight w:val="none"/>
        </w:rPr>
      </w:pPr>
      <w:r>
        <w:rPr>
          <w:rFonts w:eastAsia="仿宋_GB2312"/>
          <w:color w:val="auto"/>
          <w:szCs w:val="21"/>
          <w:highlight w:val="none"/>
        </w:rPr>
        <w:t>宝鸡分行</w:t>
      </w:r>
      <w:r>
        <w:rPr>
          <w:rFonts w:eastAsia="仿宋_GB2312"/>
          <w:color w:val="auto"/>
          <w:szCs w:val="21"/>
          <w:highlight w:val="none"/>
        </w:rPr>
        <w:tab/>
      </w:r>
      <w:r>
        <w:rPr>
          <w:rFonts w:eastAsia="仿宋_GB2312"/>
          <w:color w:val="auto"/>
          <w:szCs w:val="21"/>
          <w:highlight w:val="none"/>
        </w:rPr>
        <w:t>杨 欢</w:t>
      </w:r>
      <w:r>
        <w:rPr>
          <w:rFonts w:eastAsia="仿宋_GB2312"/>
          <w:color w:val="auto"/>
          <w:szCs w:val="21"/>
          <w:highlight w:val="none"/>
        </w:rPr>
        <w:tab/>
      </w:r>
      <w:r>
        <w:rPr>
          <w:rFonts w:eastAsia="仿宋_GB2312"/>
          <w:color w:val="auto"/>
          <w:szCs w:val="21"/>
          <w:highlight w:val="none"/>
        </w:rPr>
        <w:t>0917-3451055</w:t>
      </w:r>
      <w:r>
        <w:rPr>
          <w:rFonts w:eastAsia="仿宋_GB2312"/>
          <w:color w:val="auto"/>
          <w:szCs w:val="21"/>
          <w:highlight w:val="none"/>
        </w:rPr>
        <w:tab/>
      </w:r>
      <w:r>
        <w:rPr>
          <w:rFonts w:eastAsia="仿宋_GB2312"/>
          <w:color w:val="auto"/>
          <w:szCs w:val="21"/>
          <w:highlight w:val="none"/>
        </w:rPr>
        <w:t>18329677163</w:t>
      </w:r>
    </w:p>
    <w:p>
      <w:pPr>
        <w:ind w:firstLine="420" w:firstLineChars="200"/>
        <w:rPr>
          <w:rFonts w:eastAsia="仿宋_GB2312"/>
          <w:color w:val="auto"/>
          <w:szCs w:val="21"/>
          <w:highlight w:val="none"/>
        </w:rPr>
      </w:pPr>
      <w:r>
        <w:rPr>
          <w:rFonts w:eastAsia="仿宋_GB2312"/>
          <w:color w:val="auto"/>
          <w:szCs w:val="21"/>
          <w:highlight w:val="none"/>
        </w:rPr>
        <w:t>榆林分行</w:t>
      </w:r>
      <w:r>
        <w:rPr>
          <w:rFonts w:eastAsia="仿宋_GB2312"/>
          <w:color w:val="auto"/>
          <w:szCs w:val="21"/>
          <w:highlight w:val="none"/>
        </w:rPr>
        <w:tab/>
      </w:r>
      <w:r>
        <w:rPr>
          <w:rFonts w:eastAsia="仿宋_GB2312"/>
          <w:color w:val="auto"/>
          <w:szCs w:val="21"/>
          <w:highlight w:val="none"/>
        </w:rPr>
        <w:t>尚云鹏</w:t>
      </w:r>
      <w:r>
        <w:rPr>
          <w:rFonts w:eastAsia="仿宋_GB2312"/>
          <w:color w:val="auto"/>
          <w:szCs w:val="21"/>
          <w:highlight w:val="none"/>
        </w:rPr>
        <w:tab/>
      </w:r>
      <w:r>
        <w:rPr>
          <w:rFonts w:eastAsia="仿宋_GB2312"/>
          <w:color w:val="auto"/>
          <w:szCs w:val="21"/>
          <w:highlight w:val="none"/>
        </w:rPr>
        <w:t>0912-3548019</w:t>
      </w:r>
      <w:r>
        <w:rPr>
          <w:rFonts w:eastAsia="仿宋_GB2312"/>
          <w:color w:val="auto"/>
          <w:szCs w:val="21"/>
          <w:highlight w:val="none"/>
        </w:rPr>
        <w:tab/>
      </w:r>
      <w:r>
        <w:rPr>
          <w:rFonts w:eastAsia="仿宋_GB2312"/>
          <w:color w:val="auto"/>
          <w:szCs w:val="21"/>
          <w:highlight w:val="none"/>
        </w:rPr>
        <w:t>18690473126</w:t>
      </w:r>
    </w:p>
    <w:p>
      <w:pPr>
        <w:ind w:firstLine="420" w:firstLineChars="200"/>
        <w:rPr>
          <w:rFonts w:eastAsia="仿宋_GB2312"/>
          <w:color w:val="auto"/>
          <w:szCs w:val="21"/>
          <w:highlight w:val="none"/>
        </w:rPr>
      </w:pPr>
      <w:r>
        <w:rPr>
          <w:rFonts w:eastAsia="仿宋_GB2312"/>
          <w:color w:val="auto"/>
          <w:szCs w:val="21"/>
          <w:highlight w:val="none"/>
        </w:rPr>
        <w:t>延安分行</w:t>
      </w:r>
      <w:r>
        <w:rPr>
          <w:rFonts w:eastAsia="仿宋_GB2312"/>
          <w:color w:val="auto"/>
          <w:szCs w:val="21"/>
          <w:highlight w:val="none"/>
        </w:rPr>
        <w:tab/>
      </w:r>
      <w:r>
        <w:rPr>
          <w:rFonts w:eastAsia="仿宋_GB2312"/>
          <w:color w:val="auto"/>
          <w:szCs w:val="21"/>
          <w:highlight w:val="none"/>
        </w:rPr>
        <w:t>汪昊田</w:t>
      </w:r>
      <w:r>
        <w:rPr>
          <w:rFonts w:eastAsia="仿宋_GB2312"/>
          <w:color w:val="auto"/>
          <w:szCs w:val="21"/>
          <w:highlight w:val="none"/>
        </w:rPr>
        <w:tab/>
      </w:r>
      <w:r>
        <w:rPr>
          <w:rFonts w:eastAsia="仿宋_GB2312"/>
          <w:color w:val="auto"/>
          <w:szCs w:val="21"/>
          <w:highlight w:val="none"/>
        </w:rPr>
        <w:t>0911-8011831</w:t>
      </w:r>
      <w:r>
        <w:rPr>
          <w:rFonts w:eastAsia="仿宋_GB2312"/>
          <w:color w:val="auto"/>
          <w:szCs w:val="21"/>
          <w:highlight w:val="none"/>
        </w:rPr>
        <w:tab/>
      </w:r>
      <w:r>
        <w:rPr>
          <w:rFonts w:eastAsia="仿宋_GB2312"/>
          <w:color w:val="auto"/>
          <w:szCs w:val="21"/>
          <w:highlight w:val="none"/>
        </w:rPr>
        <w:t>13509115500</w:t>
      </w:r>
    </w:p>
    <w:p>
      <w:pPr>
        <w:ind w:firstLine="420" w:firstLineChars="200"/>
        <w:rPr>
          <w:rFonts w:eastAsia="仿宋_GB2312"/>
          <w:color w:val="auto"/>
          <w:szCs w:val="21"/>
          <w:highlight w:val="none"/>
        </w:rPr>
      </w:pPr>
      <w:r>
        <w:rPr>
          <w:rFonts w:eastAsia="仿宋_GB2312"/>
          <w:color w:val="auto"/>
          <w:szCs w:val="21"/>
          <w:highlight w:val="none"/>
        </w:rPr>
        <w:t>咸阳分行</w:t>
      </w:r>
      <w:r>
        <w:rPr>
          <w:rFonts w:eastAsia="仿宋_GB2312"/>
          <w:color w:val="auto"/>
          <w:szCs w:val="21"/>
          <w:highlight w:val="none"/>
        </w:rPr>
        <w:tab/>
      </w:r>
      <w:r>
        <w:rPr>
          <w:rFonts w:eastAsia="仿宋_GB2312"/>
          <w:color w:val="auto"/>
          <w:szCs w:val="21"/>
          <w:highlight w:val="none"/>
        </w:rPr>
        <w:t>侯 佳</w:t>
      </w:r>
      <w:r>
        <w:rPr>
          <w:rFonts w:eastAsia="仿宋_GB2312"/>
          <w:color w:val="auto"/>
          <w:szCs w:val="21"/>
          <w:highlight w:val="none"/>
        </w:rPr>
        <w:tab/>
      </w:r>
      <w:r>
        <w:rPr>
          <w:rFonts w:eastAsia="仿宋_GB2312"/>
          <w:color w:val="auto"/>
          <w:szCs w:val="21"/>
          <w:highlight w:val="none"/>
        </w:rPr>
        <w:t>32100021</w:t>
      </w:r>
      <w:r>
        <w:rPr>
          <w:rFonts w:eastAsia="仿宋_GB2312"/>
          <w:color w:val="auto"/>
          <w:szCs w:val="21"/>
          <w:highlight w:val="none"/>
        </w:rPr>
        <w:tab/>
      </w:r>
      <w:r>
        <w:rPr>
          <w:rFonts w:eastAsia="仿宋_GB2312"/>
          <w:color w:val="auto"/>
          <w:szCs w:val="21"/>
          <w:highlight w:val="none"/>
        </w:rPr>
        <w:t>15229500088</w:t>
      </w:r>
    </w:p>
    <w:p>
      <w:pPr>
        <w:ind w:firstLine="420" w:firstLineChars="200"/>
        <w:rPr>
          <w:rFonts w:eastAsia="仿宋_GB2312"/>
          <w:color w:val="auto"/>
          <w:szCs w:val="21"/>
          <w:highlight w:val="none"/>
        </w:rPr>
      </w:pPr>
      <w:r>
        <w:rPr>
          <w:rFonts w:eastAsia="仿宋_GB2312"/>
          <w:color w:val="auto"/>
          <w:szCs w:val="21"/>
          <w:highlight w:val="none"/>
        </w:rPr>
        <w:t>营销一部</w:t>
      </w:r>
      <w:r>
        <w:rPr>
          <w:rFonts w:eastAsia="仿宋_GB2312"/>
          <w:color w:val="auto"/>
          <w:szCs w:val="21"/>
          <w:highlight w:val="none"/>
        </w:rPr>
        <w:tab/>
      </w:r>
      <w:r>
        <w:rPr>
          <w:rFonts w:eastAsia="仿宋_GB2312"/>
          <w:color w:val="auto"/>
          <w:szCs w:val="21"/>
          <w:highlight w:val="none"/>
        </w:rPr>
        <w:t>李 敏</w:t>
      </w:r>
      <w:r>
        <w:rPr>
          <w:rFonts w:eastAsia="仿宋_GB2312"/>
          <w:color w:val="auto"/>
          <w:szCs w:val="21"/>
          <w:highlight w:val="none"/>
        </w:rPr>
        <w:tab/>
      </w:r>
      <w:r>
        <w:rPr>
          <w:rFonts w:eastAsia="仿宋_GB2312"/>
          <w:color w:val="auto"/>
          <w:szCs w:val="21"/>
          <w:highlight w:val="none"/>
        </w:rPr>
        <w:t>87236311</w:t>
      </w:r>
      <w:r>
        <w:rPr>
          <w:rFonts w:eastAsia="仿宋_GB2312"/>
          <w:color w:val="auto"/>
          <w:szCs w:val="21"/>
          <w:highlight w:val="none"/>
        </w:rPr>
        <w:tab/>
      </w:r>
      <w:r>
        <w:rPr>
          <w:rFonts w:eastAsia="仿宋_GB2312"/>
          <w:color w:val="auto"/>
          <w:szCs w:val="21"/>
          <w:highlight w:val="none"/>
        </w:rPr>
        <w:t>13772031109</w:t>
      </w:r>
    </w:p>
    <w:p>
      <w:pPr>
        <w:ind w:firstLine="420" w:firstLineChars="200"/>
        <w:rPr>
          <w:rFonts w:eastAsia="仿宋_GB2312"/>
          <w:color w:val="auto"/>
          <w:szCs w:val="21"/>
          <w:highlight w:val="none"/>
        </w:rPr>
      </w:pPr>
      <w:r>
        <w:rPr>
          <w:rFonts w:eastAsia="仿宋_GB2312"/>
          <w:color w:val="auto"/>
          <w:szCs w:val="21"/>
          <w:highlight w:val="none"/>
        </w:rPr>
        <w:t>营销二部</w:t>
      </w:r>
      <w:r>
        <w:rPr>
          <w:rFonts w:eastAsia="仿宋_GB2312"/>
          <w:color w:val="auto"/>
          <w:szCs w:val="21"/>
          <w:highlight w:val="none"/>
        </w:rPr>
        <w:tab/>
      </w:r>
      <w:r>
        <w:rPr>
          <w:rFonts w:eastAsia="仿宋_GB2312"/>
          <w:color w:val="auto"/>
          <w:szCs w:val="21"/>
          <w:highlight w:val="none"/>
        </w:rPr>
        <w:t>朱翰辰</w:t>
      </w:r>
      <w:r>
        <w:rPr>
          <w:rFonts w:eastAsia="仿宋_GB2312"/>
          <w:color w:val="auto"/>
          <w:szCs w:val="21"/>
          <w:highlight w:val="none"/>
        </w:rPr>
        <w:tab/>
      </w:r>
      <w:r>
        <w:rPr>
          <w:rFonts w:eastAsia="仿宋_GB2312"/>
          <w:color w:val="auto"/>
          <w:szCs w:val="21"/>
          <w:highlight w:val="none"/>
        </w:rPr>
        <w:t>87236201</w:t>
      </w:r>
      <w:r>
        <w:rPr>
          <w:rFonts w:eastAsia="仿宋_GB2312"/>
          <w:color w:val="auto"/>
          <w:szCs w:val="21"/>
          <w:highlight w:val="none"/>
        </w:rPr>
        <w:tab/>
      </w:r>
      <w:r>
        <w:rPr>
          <w:rFonts w:eastAsia="仿宋_GB2312"/>
          <w:color w:val="auto"/>
          <w:szCs w:val="21"/>
          <w:highlight w:val="none"/>
        </w:rPr>
        <w:t>17791788078</w:t>
      </w:r>
    </w:p>
    <w:p>
      <w:pPr>
        <w:ind w:firstLine="420" w:firstLineChars="200"/>
        <w:rPr>
          <w:rFonts w:eastAsia="仿宋_GB2312"/>
          <w:color w:val="auto"/>
          <w:szCs w:val="21"/>
          <w:highlight w:val="none"/>
        </w:rPr>
      </w:pPr>
      <w:r>
        <w:rPr>
          <w:rFonts w:eastAsia="仿宋_GB2312"/>
          <w:color w:val="auto"/>
          <w:szCs w:val="21"/>
          <w:highlight w:val="none"/>
        </w:rPr>
        <w:t>营业部</w:t>
      </w:r>
      <w:r>
        <w:rPr>
          <w:rFonts w:eastAsia="仿宋_GB2312"/>
          <w:color w:val="auto"/>
          <w:szCs w:val="21"/>
          <w:highlight w:val="none"/>
        </w:rPr>
        <w:tab/>
      </w:r>
      <w:r>
        <w:rPr>
          <w:rFonts w:eastAsia="仿宋_GB2312"/>
          <w:color w:val="auto"/>
          <w:szCs w:val="21"/>
          <w:highlight w:val="none"/>
        </w:rPr>
        <w:t>张翔琮</w:t>
      </w:r>
      <w:r>
        <w:rPr>
          <w:rFonts w:eastAsia="仿宋_GB2312"/>
          <w:color w:val="auto"/>
          <w:szCs w:val="21"/>
          <w:highlight w:val="none"/>
        </w:rPr>
        <w:tab/>
      </w:r>
      <w:r>
        <w:rPr>
          <w:rFonts w:eastAsia="仿宋_GB2312"/>
          <w:color w:val="auto"/>
          <w:szCs w:val="21"/>
          <w:highlight w:val="none"/>
        </w:rPr>
        <w:t>87236306</w:t>
      </w:r>
      <w:r>
        <w:rPr>
          <w:rFonts w:eastAsia="仿宋_GB2312"/>
          <w:color w:val="auto"/>
          <w:szCs w:val="21"/>
          <w:highlight w:val="none"/>
        </w:rPr>
        <w:tab/>
      </w:r>
      <w:r>
        <w:rPr>
          <w:rFonts w:eastAsia="仿宋_GB2312"/>
          <w:color w:val="auto"/>
          <w:szCs w:val="21"/>
          <w:highlight w:val="none"/>
        </w:rPr>
        <w:t>18829235568</w:t>
      </w:r>
    </w:p>
    <w:p>
      <w:pPr>
        <w:ind w:firstLine="420" w:firstLineChars="200"/>
        <w:rPr>
          <w:rFonts w:eastAsia="仿宋_GB2312"/>
          <w:color w:val="auto"/>
          <w:szCs w:val="21"/>
          <w:highlight w:val="none"/>
        </w:rPr>
      </w:pPr>
      <w:r>
        <w:rPr>
          <w:rFonts w:eastAsia="仿宋_GB2312"/>
          <w:color w:val="auto"/>
          <w:szCs w:val="21"/>
          <w:highlight w:val="none"/>
        </w:rPr>
        <w:t>电子城支行</w:t>
      </w:r>
      <w:r>
        <w:rPr>
          <w:rFonts w:eastAsia="仿宋_GB2312"/>
          <w:color w:val="auto"/>
          <w:szCs w:val="21"/>
          <w:highlight w:val="none"/>
        </w:rPr>
        <w:tab/>
      </w:r>
      <w:r>
        <w:rPr>
          <w:rFonts w:eastAsia="仿宋_GB2312"/>
          <w:color w:val="auto"/>
          <w:szCs w:val="21"/>
          <w:highlight w:val="none"/>
        </w:rPr>
        <w:t>张曼玉</w:t>
      </w:r>
      <w:r>
        <w:rPr>
          <w:rFonts w:eastAsia="仿宋_GB2312"/>
          <w:color w:val="auto"/>
          <w:szCs w:val="21"/>
          <w:highlight w:val="none"/>
        </w:rPr>
        <w:tab/>
      </w:r>
      <w:r>
        <w:rPr>
          <w:rFonts w:eastAsia="仿宋_GB2312"/>
          <w:color w:val="auto"/>
          <w:szCs w:val="21"/>
          <w:highlight w:val="none"/>
        </w:rPr>
        <w:t>88247071</w:t>
      </w:r>
      <w:r>
        <w:rPr>
          <w:rFonts w:eastAsia="仿宋_GB2312"/>
          <w:color w:val="auto"/>
          <w:szCs w:val="21"/>
          <w:highlight w:val="none"/>
        </w:rPr>
        <w:tab/>
      </w:r>
      <w:r>
        <w:rPr>
          <w:rFonts w:eastAsia="仿宋_GB2312"/>
          <w:color w:val="auto"/>
          <w:szCs w:val="21"/>
          <w:highlight w:val="none"/>
        </w:rPr>
        <w:t>18009298787</w:t>
      </w:r>
    </w:p>
    <w:p>
      <w:pPr>
        <w:ind w:firstLine="420" w:firstLineChars="200"/>
        <w:rPr>
          <w:rFonts w:eastAsia="仿宋_GB2312"/>
          <w:color w:val="auto"/>
          <w:szCs w:val="21"/>
          <w:highlight w:val="none"/>
        </w:rPr>
      </w:pPr>
      <w:r>
        <w:rPr>
          <w:rFonts w:eastAsia="仿宋_GB2312"/>
          <w:color w:val="auto"/>
          <w:szCs w:val="21"/>
          <w:highlight w:val="none"/>
        </w:rPr>
        <w:t>明德门支行</w:t>
      </w:r>
      <w:r>
        <w:rPr>
          <w:rFonts w:eastAsia="仿宋_GB2312"/>
          <w:color w:val="auto"/>
          <w:szCs w:val="21"/>
          <w:highlight w:val="none"/>
        </w:rPr>
        <w:tab/>
      </w:r>
      <w:r>
        <w:rPr>
          <w:rFonts w:eastAsia="仿宋_GB2312"/>
          <w:color w:val="auto"/>
          <w:szCs w:val="21"/>
          <w:highlight w:val="none"/>
        </w:rPr>
        <w:t>王 晨</w:t>
      </w:r>
      <w:r>
        <w:rPr>
          <w:rFonts w:eastAsia="仿宋_GB2312"/>
          <w:color w:val="auto"/>
          <w:szCs w:val="21"/>
          <w:highlight w:val="none"/>
        </w:rPr>
        <w:tab/>
      </w:r>
      <w:r>
        <w:rPr>
          <w:rFonts w:eastAsia="仿宋_GB2312"/>
          <w:color w:val="auto"/>
          <w:szCs w:val="21"/>
          <w:highlight w:val="none"/>
        </w:rPr>
        <w:t>85350770</w:t>
      </w:r>
      <w:r>
        <w:rPr>
          <w:rFonts w:eastAsia="仿宋_GB2312"/>
          <w:color w:val="auto"/>
          <w:szCs w:val="21"/>
          <w:highlight w:val="none"/>
        </w:rPr>
        <w:tab/>
      </w:r>
      <w:r>
        <w:rPr>
          <w:rFonts w:eastAsia="仿宋_GB2312"/>
          <w:color w:val="auto"/>
          <w:szCs w:val="21"/>
          <w:highlight w:val="none"/>
        </w:rPr>
        <w:t>13991249430</w:t>
      </w:r>
    </w:p>
    <w:p>
      <w:pPr>
        <w:ind w:firstLine="420" w:firstLineChars="200"/>
        <w:rPr>
          <w:rFonts w:eastAsia="仿宋_GB2312"/>
          <w:color w:val="auto"/>
          <w:szCs w:val="21"/>
          <w:highlight w:val="none"/>
        </w:rPr>
      </w:pPr>
      <w:r>
        <w:rPr>
          <w:rFonts w:eastAsia="仿宋_GB2312"/>
          <w:color w:val="auto"/>
          <w:szCs w:val="21"/>
          <w:highlight w:val="none"/>
        </w:rPr>
        <w:t>东大街支行</w:t>
      </w:r>
      <w:r>
        <w:rPr>
          <w:rFonts w:eastAsia="仿宋_GB2312"/>
          <w:color w:val="auto"/>
          <w:szCs w:val="21"/>
          <w:highlight w:val="none"/>
        </w:rPr>
        <w:tab/>
      </w:r>
      <w:r>
        <w:rPr>
          <w:rFonts w:eastAsia="仿宋_GB2312"/>
          <w:color w:val="auto"/>
          <w:szCs w:val="21"/>
          <w:highlight w:val="none"/>
        </w:rPr>
        <w:t>刘 林</w:t>
      </w:r>
      <w:r>
        <w:rPr>
          <w:rFonts w:eastAsia="仿宋_GB2312"/>
          <w:color w:val="auto"/>
          <w:szCs w:val="21"/>
          <w:highlight w:val="none"/>
        </w:rPr>
        <w:tab/>
      </w:r>
      <w:r>
        <w:rPr>
          <w:rFonts w:eastAsia="仿宋_GB2312"/>
          <w:color w:val="auto"/>
          <w:szCs w:val="21"/>
          <w:highlight w:val="none"/>
        </w:rPr>
        <w:t>87438914</w:t>
      </w:r>
      <w:r>
        <w:rPr>
          <w:rFonts w:eastAsia="仿宋_GB2312"/>
          <w:color w:val="auto"/>
          <w:szCs w:val="21"/>
          <w:highlight w:val="none"/>
        </w:rPr>
        <w:tab/>
      </w:r>
      <w:r>
        <w:rPr>
          <w:rFonts w:eastAsia="仿宋_GB2312"/>
          <w:color w:val="auto"/>
          <w:szCs w:val="21"/>
          <w:highlight w:val="none"/>
        </w:rPr>
        <w:t>15029673754</w:t>
      </w:r>
    </w:p>
    <w:p>
      <w:pPr>
        <w:ind w:firstLine="420" w:firstLineChars="200"/>
        <w:rPr>
          <w:rFonts w:eastAsia="仿宋_GB2312"/>
          <w:color w:val="auto"/>
          <w:szCs w:val="21"/>
          <w:highlight w:val="none"/>
        </w:rPr>
      </w:pPr>
      <w:r>
        <w:rPr>
          <w:rFonts w:eastAsia="仿宋_GB2312"/>
          <w:color w:val="auto"/>
          <w:szCs w:val="21"/>
          <w:highlight w:val="none"/>
        </w:rPr>
        <w:t>经济开发区支行</w:t>
      </w:r>
      <w:r>
        <w:rPr>
          <w:rFonts w:eastAsia="仿宋_GB2312"/>
          <w:color w:val="auto"/>
          <w:szCs w:val="21"/>
          <w:highlight w:val="none"/>
        </w:rPr>
        <w:tab/>
      </w:r>
      <w:r>
        <w:rPr>
          <w:rFonts w:eastAsia="仿宋_GB2312"/>
          <w:color w:val="auto"/>
          <w:szCs w:val="21"/>
          <w:highlight w:val="none"/>
        </w:rPr>
        <w:t>陆家俊</w:t>
      </w:r>
      <w:r>
        <w:rPr>
          <w:rFonts w:eastAsia="仿宋_GB2312"/>
          <w:color w:val="auto"/>
          <w:szCs w:val="21"/>
          <w:highlight w:val="none"/>
        </w:rPr>
        <w:tab/>
      </w:r>
      <w:r>
        <w:rPr>
          <w:rFonts w:eastAsia="仿宋_GB2312"/>
          <w:color w:val="auto"/>
          <w:szCs w:val="21"/>
          <w:highlight w:val="none"/>
        </w:rPr>
        <w:t>86525176</w:t>
      </w:r>
      <w:r>
        <w:rPr>
          <w:rFonts w:eastAsia="仿宋_GB2312"/>
          <w:color w:val="auto"/>
          <w:szCs w:val="21"/>
          <w:highlight w:val="none"/>
        </w:rPr>
        <w:tab/>
      </w:r>
      <w:r>
        <w:rPr>
          <w:rFonts w:eastAsia="仿宋_GB2312"/>
          <w:color w:val="auto"/>
          <w:szCs w:val="21"/>
          <w:highlight w:val="none"/>
        </w:rPr>
        <w:t>18629303397</w:t>
      </w:r>
    </w:p>
    <w:p>
      <w:pPr>
        <w:ind w:firstLine="420" w:firstLineChars="200"/>
        <w:rPr>
          <w:rFonts w:eastAsia="仿宋_GB2312"/>
          <w:color w:val="auto"/>
          <w:szCs w:val="21"/>
          <w:highlight w:val="none"/>
        </w:rPr>
      </w:pPr>
      <w:r>
        <w:rPr>
          <w:rFonts w:eastAsia="仿宋_GB2312"/>
          <w:color w:val="auto"/>
          <w:szCs w:val="21"/>
          <w:highlight w:val="none"/>
        </w:rPr>
        <w:t>凤城九路支行</w:t>
      </w:r>
      <w:r>
        <w:rPr>
          <w:rFonts w:eastAsia="仿宋_GB2312"/>
          <w:color w:val="auto"/>
          <w:szCs w:val="21"/>
          <w:highlight w:val="none"/>
        </w:rPr>
        <w:tab/>
      </w:r>
      <w:r>
        <w:rPr>
          <w:rFonts w:eastAsia="仿宋_GB2312"/>
          <w:color w:val="auto"/>
          <w:szCs w:val="21"/>
          <w:highlight w:val="none"/>
        </w:rPr>
        <w:t>宋 宜</w:t>
      </w:r>
      <w:r>
        <w:rPr>
          <w:rFonts w:eastAsia="仿宋_GB2312"/>
          <w:color w:val="auto"/>
          <w:szCs w:val="21"/>
          <w:highlight w:val="none"/>
        </w:rPr>
        <w:tab/>
      </w:r>
      <w:r>
        <w:rPr>
          <w:rFonts w:eastAsia="仿宋_GB2312"/>
          <w:color w:val="auto"/>
          <w:szCs w:val="21"/>
          <w:highlight w:val="none"/>
        </w:rPr>
        <w:t>89155022</w:t>
      </w:r>
      <w:r>
        <w:rPr>
          <w:rFonts w:eastAsia="仿宋_GB2312"/>
          <w:color w:val="auto"/>
          <w:szCs w:val="21"/>
          <w:highlight w:val="none"/>
        </w:rPr>
        <w:tab/>
      </w:r>
      <w:r>
        <w:rPr>
          <w:rFonts w:eastAsia="仿宋_GB2312"/>
          <w:color w:val="auto"/>
          <w:szCs w:val="21"/>
          <w:highlight w:val="none"/>
        </w:rPr>
        <w:t>18966911622</w:t>
      </w:r>
    </w:p>
    <w:p>
      <w:pPr>
        <w:ind w:firstLine="420" w:firstLineChars="200"/>
        <w:rPr>
          <w:rFonts w:eastAsia="仿宋_GB2312"/>
          <w:color w:val="auto"/>
          <w:szCs w:val="21"/>
          <w:highlight w:val="none"/>
        </w:rPr>
      </w:pPr>
      <w:r>
        <w:rPr>
          <w:rFonts w:eastAsia="仿宋_GB2312"/>
          <w:color w:val="auto"/>
          <w:szCs w:val="21"/>
          <w:highlight w:val="none"/>
        </w:rPr>
        <w:t>兴庆路支行</w:t>
      </w:r>
      <w:r>
        <w:rPr>
          <w:rFonts w:eastAsia="仿宋_GB2312"/>
          <w:color w:val="auto"/>
          <w:szCs w:val="21"/>
          <w:highlight w:val="none"/>
        </w:rPr>
        <w:tab/>
      </w:r>
      <w:r>
        <w:rPr>
          <w:rFonts w:eastAsia="仿宋_GB2312"/>
          <w:color w:val="auto"/>
          <w:szCs w:val="21"/>
          <w:highlight w:val="none"/>
        </w:rPr>
        <w:t>司 洋</w:t>
      </w:r>
      <w:r>
        <w:rPr>
          <w:rFonts w:eastAsia="仿宋_GB2312"/>
          <w:color w:val="auto"/>
          <w:szCs w:val="21"/>
          <w:highlight w:val="none"/>
        </w:rPr>
        <w:tab/>
      </w:r>
      <w:r>
        <w:rPr>
          <w:rFonts w:eastAsia="仿宋_GB2312"/>
          <w:color w:val="auto"/>
          <w:szCs w:val="21"/>
          <w:highlight w:val="none"/>
        </w:rPr>
        <w:t>83290033</w:t>
      </w:r>
      <w:r>
        <w:rPr>
          <w:rFonts w:eastAsia="仿宋_GB2312"/>
          <w:color w:val="auto"/>
          <w:szCs w:val="21"/>
          <w:highlight w:val="none"/>
        </w:rPr>
        <w:tab/>
      </w:r>
      <w:r>
        <w:rPr>
          <w:rFonts w:eastAsia="仿宋_GB2312"/>
          <w:color w:val="auto"/>
          <w:szCs w:val="21"/>
          <w:highlight w:val="none"/>
        </w:rPr>
        <w:t>18629251819</w:t>
      </w:r>
    </w:p>
    <w:p>
      <w:pPr>
        <w:ind w:firstLine="420" w:firstLineChars="200"/>
        <w:rPr>
          <w:rFonts w:eastAsia="仿宋_GB2312"/>
          <w:color w:val="auto"/>
          <w:szCs w:val="21"/>
          <w:highlight w:val="none"/>
        </w:rPr>
      </w:pPr>
      <w:r>
        <w:rPr>
          <w:rFonts w:eastAsia="仿宋_GB2312"/>
          <w:color w:val="auto"/>
          <w:szCs w:val="21"/>
          <w:highlight w:val="none"/>
        </w:rPr>
        <w:t>长乐西路支行</w:t>
      </w:r>
      <w:r>
        <w:rPr>
          <w:rFonts w:eastAsia="仿宋_GB2312"/>
          <w:color w:val="auto"/>
          <w:szCs w:val="21"/>
          <w:highlight w:val="none"/>
        </w:rPr>
        <w:tab/>
      </w:r>
      <w:r>
        <w:rPr>
          <w:rFonts w:eastAsia="仿宋_GB2312"/>
          <w:color w:val="auto"/>
          <w:szCs w:val="21"/>
          <w:highlight w:val="none"/>
        </w:rPr>
        <w:t>张 超</w:t>
      </w:r>
      <w:r>
        <w:rPr>
          <w:rFonts w:eastAsia="仿宋_GB2312"/>
          <w:color w:val="auto"/>
          <w:szCs w:val="21"/>
          <w:highlight w:val="none"/>
        </w:rPr>
        <w:tab/>
      </w:r>
      <w:r>
        <w:rPr>
          <w:rFonts w:eastAsia="仿宋_GB2312"/>
          <w:color w:val="auto"/>
          <w:szCs w:val="21"/>
          <w:highlight w:val="none"/>
        </w:rPr>
        <w:t>82566208</w:t>
      </w:r>
      <w:r>
        <w:rPr>
          <w:rFonts w:eastAsia="仿宋_GB2312"/>
          <w:color w:val="auto"/>
          <w:szCs w:val="21"/>
          <w:highlight w:val="none"/>
        </w:rPr>
        <w:tab/>
      </w:r>
      <w:r>
        <w:rPr>
          <w:rFonts w:eastAsia="仿宋_GB2312"/>
          <w:color w:val="auto"/>
          <w:szCs w:val="21"/>
          <w:highlight w:val="none"/>
        </w:rPr>
        <w:t>15877390201</w:t>
      </w:r>
    </w:p>
    <w:p>
      <w:pPr>
        <w:ind w:firstLine="420" w:firstLineChars="200"/>
        <w:rPr>
          <w:rFonts w:eastAsia="仿宋_GB2312"/>
          <w:color w:val="auto"/>
          <w:szCs w:val="21"/>
          <w:highlight w:val="none"/>
        </w:rPr>
      </w:pPr>
      <w:r>
        <w:rPr>
          <w:rFonts w:eastAsia="仿宋_GB2312"/>
          <w:color w:val="auto"/>
          <w:szCs w:val="21"/>
          <w:highlight w:val="none"/>
        </w:rPr>
        <w:t>友谊路支行</w:t>
      </w:r>
      <w:r>
        <w:rPr>
          <w:rFonts w:eastAsia="仿宋_GB2312"/>
          <w:color w:val="auto"/>
          <w:szCs w:val="21"/>
          <w:highlight w:val="none"/>
        </w:rPr>
        <w:tab/>
      </w:r>
      <w:r>
        <w:rPr>
          <w:rFonts w:eastAsia="仿宋_GB2312"/>
          <w:color w:val="auto"/>
          <w:szCs w:val="21"/>
          <w:highlight w:val="none"/>
        </w:rPr>
        <w:t>贠程敏</w:t>
      </w:r>
      <w:r>
        <w:rPr>
          <w:rFonts w:eastAsia="仿宋_GB2312"/>
          <w:color w:val="auto"/>
          <w:szCs w:val="21"/>
          <w:highlight w:val="none"/>
        </w:rPr>
        <w:tab/>
      </w:r>
      <w:r>
        <w:rPr>
          <w:rFonts w:eastAsia="仿宋_GB2312"/>
          <w:color w:val="auto"/>
          <w:szCs w:val="21"/>
          <w:highlight w:val="none"/>
        </w:rPr>
        <w:t>88422067</w:t>
      </w:r>
      <w:r>
        <w:rPr>
          <w:rFonts w:eastAsia="仿宋_GB2312"/>
          <w:color w:val="auto"/>
          <w:szCs w:val="21"/>
          <w:highlight w:val="none"/>
        </w:rPr>
        <w:tab/>
      </w:r>
      <w:r>
        <w:rPr>
          <w:rFonts w:eastAsia="仿宋_GB2312"/>
          <w:color w:val="auto"/>
          <w:szCs w:val="21"/>
          <w:highlight w:val="none"/>
        </w:rPr>
        <w:t>18792795210</w:t>
      </w:r>
    </w:p>
    <w:p>
      <w:pPr>
        <w:ind w:firstLine="420" w:firstLineChars="200"/>
        <w:rPr>
          <w:rFonts w:eastAsia="仿宋_GB2312"/>
          <w:color w:val="auto"/>
          <w:szCs w:val="21"/>
          <w:highlight w:val="none"/>
        </w:rPr>
      </w:pPr>
      <w:r>
        <w:rPr>
          <w:rFonts w:eastAsia="仿宋_GB2312"/>
          <w:color w:val="auto"/>
          <w:szCs w:val="21"/>
          <w:highlight w:val="none"/>
        </w:rPr>
        <w:t>边家村支行</w:t>
      </w:r>
      <w:r>
        <w:rPr>
          <w:rFonts w:eastAsia="仿宋_GB2312"/>
          <w:color w:val="auto"/>
          <w:szCs w:val="21"/>
          <w:highlight w:val="none"/>
        </w:rPr>
        <w:tab/>
      </w:r>
      <w:r>
        <w:rPr>
          <w:rFonts w:eastAsia="仿宋_GB2312"/>
          <w:color w:val="auto"/>
          <w:szCs w:val="21"/>
          <w:highlight w:val="none"/>
        </w:rPr>
        <w:t>王 鹏</w:t>
      </w:r>
      <w:r>
        <w:rPr>
          <w:rFonts w:eastAsia="仿宋_GB2312"/>
          <w:color w:val="auto"/>
          <w:szCs w:val="21"/>
          <w:highlight w:val="none"/>
        </w:rPr>
        <w:tab/>
      </w:r>
      <w:r>
        <w:rPr>
          <w:rFonts w:eastAsia="仿宋_GB2312"/>
          <w:color w:val="auto"/>
          <w:szCs w:val="21"/>
          <w:highlight w:val="none"/>
        </w:rPr>
        <w:t>85251673</w:t>
      </w:r>
      <w:r>
        <w:rPr>
          <w:rFonts w:eastAsia="仿宋_GB2312"/>
          <w:color w:val="auto"/>
          <w:szCs w:val="21"/>
          <w:highlight w:val="none"/>
        </w:rPr>
        <w:tab/>
      </w:r>
      <w:r>
        <w:rPr>
          <w:rFonts w:eastAsia="仿宋_GB2312"/>
          <w:color w:val="auto"/>
          <w:szCs w:val="21"/>
          <w:highlight w:val="none"/>
        </w:rPr>
        <w:t>15309223048</w:t>
      </w:r>
    </w:p>
    <w:p>
      <w:pPr>
        <w:ind w:firstLine="420" w:firstLineChars="200"/>
        <w:rPr>
          <w:rFonts w:eastAsia="仿宋_GB2312"/>
          <w:color w:val="auto"/>
          <w:szCs w:val="21"/>
          <w:highlight w:val="none"/>
        </w:rPr>
      </w:pPr>
      <w:r>
        <w:rPr>
          <w:rFonts w:eastAsia="仿宋_GB2312"/>
          <w:color w:val="auto"/>
          <w:szCs w:val="21"/>
          <w:highlight w:val="none"/>
        </w:rPr>
        <w:t>北关支行</w:t>
      </w:r>
      <w:r>
        <w:rPr>
          <w:rFonts w:eastAsia="仿宋_GB2312"/>
          <w:color w:val="auto"/>
          <w:szCs w:val="21"/>
          <w:highlight w:val="none"/>
        </w:rPr>
        <w:tab/>
      </w:r>
      <w:r>
        <w:rPr>
          <w:rFonts w:eastAsia="仿宋_GB2312"/>
          <w:color w:val="auto"/>
          <w:szCs w:val="21"/>
          <w:highlight w:val="none"/>
        </w:rPr>
        <w:t>菅新培</w:t>
      </w:r>
      <w:r>
        <w:rPr>
          <w:rFonts w:eastAsia="仿宋_GB2312"/>
          <w:color w:val="auto"/>
          <w:szCs w:val="21"/>
          <w:highlight w:val="none"/>
        </w:rPr>
        <w:tab/>
      </w:r>
      <w:r>
        <w:rPr>
          <w:rFonts w:eastAsia="仿宋_GB2312"/>
          <w:color w:val="auto"/>
          <w:szCs w:val="21"/>
          <w:highlight w:val="none"/>
        </w:rPr>
        <w:t>86248203</w:t>
      </w:r>
      <w:r>
        <w:rPr>
          <w:rFonts w:eastAsia="仿宋_GB2312"/>
          <w:color w:val="auto"/>
          <w:szCs w:val="21"/>
          <w:highlight w:val="none"/>
        </w:rPr>
        <w:tab/>
      </w:r>
      <w:r>
        <w:rPr>
          <w:rFonts w:eastAsia="仿宋_GB2312"/>
          <w:color w:val="auto"/>
          <w:szCs w:val="21"/>
          <w:highlight w:val="none"/>
        </w:rPr>
        <w:t>18092169361</w:t>
      </w:r>
    </w:p>
    <w:p>
      <w:pPr>
        <w:ind w:firstLine="420" w:firstLineChars="200"/>
        <w:rPr>
          <w:rFonts w:eastAsia="仿宋_GB2312"/>
          <w:color w:val="auto"/>
          <w:szCs w:val="21"/>
          <w:highlight w:val="none"/>
        </w:rPr>
      </w:pPr>
      <w:r>
        <w:rPr>
          <w:rFonts w:eastAsia="仿宋_GB2312"/>
          <w:color w:val="auto"/>
          <w:szCs w:val="21"/>
          <w:highlight w:val="none"/>
        </w:rPr>
        <w:t>南郊支行</w:t>
      </w:r>
      <w:r>
        <w:rPr>
          <w:rFonts w:eastAsia="仿宋_GB2312"/>
          <w:color w:val="auto"/>
          <w:szCs w:val="21"/>
          <w:highlight w:val="none"/>
        </w:rPr>
        <w:tab/>
      </w:r>
      <w:r>
        <w:rPr>
          <w:rFonts w:eastAsia="仿宋_GB2312"/>
          <w:color w:val="auto"/>
          <w:szCs w:val="21"/>
          <w:highlight w:val="none"/>
        </w:rPr>
        <w:t>程 拓</w:t>
      </w:r>
      <w:r>
        <w:rPr>
          <w:rFonts w:eastAsia="仿宋_GB2312"/>
          <w:color w:val="auto"/>
          <w:szCs w:val="21"/>
          <w:highlight w:val="none"/>
        </w:rPr>
        <w:tab/>
      </w:r>
      <w:r>
        <w:rPr>
          <w:rFonts w:eastAsia="仿宋_GB2312"/>
          <w:color w:val="auto"/>
          <w:szCs w:val="21"/>
          <w:highlight w:val="none"/>
        </w:rPr>
        <w:t>85265234</w:t>
      </w:r>
      <w:r>
        <w:rPr>
          <w:rFonts w:eastAsia="仿宋_GB2312"/>
          <w:color w:val="auto"/>
          <w:szCs w:val="21"/>
          <w:highlight w:val="none"/>
        </w:rPr>
        <w:tab/>
      </w:r>
      <w:r>
        <w:rPr>
          <w:rFonts w:eastAsia="仿宋_GB2312"/>
          <w:color w:val="auto"/>
          <w:szCs w:val="21"/>
          <w:highlight w:val="none"/>
        </w:rPr>
        <w:t>13772491661</w:t>
      </w:r>
    </w:p>
    <w:p>
      <w:pPr>
        <w:ind w:firstLine="420" w:firstLineChars="200"/>
        <w:rPr>
          <w:rFonts w:eastAsia="仿宋_GB2312"/>
          <w:color w:val="auto"/>
          <w:szCs w:val="21"/>
          <w:highlight w:val="none"/>
        </w:rPr>
      </w:pPr>
      <w:r>
        <w:rPr>
          <w:rFonts w:eastAsia="仿宋_GB2312"/>
          <w:color w:val="auto"/>
          <w:szCs w:val="21"/>
          <w:highlight w:val="none"/>
        </w:rPr>
        <w:t>西关正街</w:t>
      </w:r>
      <w:r>
        <w:rPr>
          <w:rFonts w:eastAsia="仿宋_GB2312"/>
          <w:color w:val="auto"/>
          <w:szCs w:val="21"/>
          <w:highlight w:val="none"/>
        </w:rPr>
        <w:tab/>
      </w:r>
      <w:r>
        <w:rPr>
          <w:rFonts w:eastAsia="仿宋_GB2312"/>
          <w:color w:val="auto"/>
          <w:szCs w:val="21"/>
          <w:highlight w:val="none"/>
        </w:rPr>
        <w:t>马 瑜</w:t>
      </w:r>
      <w:r>
        <w:rPr>
          <w:rFonts w:eastAsia="仿宋_GB2312"/>
          <w:color w:val="auto"/>
          <w:szCs w:val="21"/>
          <w:highlight w:val="none"/>
        </w:rPr>
        <w:tab/>
      </w:r>
      <w:r>
        <w:rPr>
          <w:rFonts w:eastAsia="仿宋_GB2312"/>
          <w:color w:val="auto"/>
          <w:szCs w:val="21"/>
          <w:highlight w:val="none"/>
        </w:rPr>
        <w:t>89548109</w:t>
      </w:r>
      <w:r>
        <w:rPr>
          <w:rFonts w:eastAsia="仿宋_GB2312"/>
          <w:color w:val="auto"/>
          <w:szCs w:val="21"/>
          <w:highlight w:val="none"/>
        </w:rPr>
        <w:tab/>
      </w:r>
      <w:r>
        <w:rPr>
          <w:rFonts w:eastAsia="仿宋_GB2312"/>
          <w:color w:val="auto"/>
          <w:szCs w:val="21"/>
          <w:highlight w:val="none"/>
        </w:rPr>
        <w:t>13772337373</w:t>
      </w:r>
    </w:p>
    <w:p>
      <w:pPr>
        <w:ind w:firstLine="420" w:firstLineChars="200"/>
        <w:rPr>
          <w:rFonts w:eastAsia="仿宋_GB2312"/>
          <w:color w:val="auto"/>
          <w:szCs w:val="21"/>
          <w:highlight w:val="none"/>
        </w:rPr>
      </w:pPr>
      <w:r>
        <w:rPr>
          <w:rFonts w:eastAsia="仿宋_GB2312"/>
          <w:color w:val="auto"/>
          <w:szCs w:val="21"/>
          <w:highlight w:val="none"/>
        </w:rPr>
        <w:t>丈八东路支行</w:t>
      </w:r>
      <w:r>
        <w:rPr>
          <w:rFonts w:eastAsia="仿宋_GB2312"/>
          <w:color w:val="auto"/>
          <w:szCs w:val="21"/>
          <w:highlight w:val="none"/>
        </w:rPr>
        <w:tab/>
      </w:r>
      <w:r>
        <w:rPr>
          <w:rFonts w:eastAsia="仿宋_GB2312"/>
          <w:color w:val="auto"/>
          <w:szCs w:val="21"/>
          <w:highlight w:val="none"/>
        </w:rPr>
        <w:t>杨筱凡</w:t>
      </w:r>
      <w:r>
        <w:rPr>
          <w:rFonts w:eastAsia="仿宋_GB2312"/>
          <w:color w:val="auto"/>
          <w:szCs w:val="21"/>
          <w:highlight w:val="none"/>
        </w:rPr>
        <w:tab/>
      </w:r>
      <w:r>
        <w:rPr>
          <w:rFonts w:eastAsia="仿宋_GB2312"/>
          <w:color w:val="auto"/>
          <w:szCs w:val="21"/>
          <w:highlight w:val="none"/>
        </w:rPr>
        <w:t>81026910</w:t>
      </w:r>
      <w:r>
        <w:rPr>
          <w:rFonts w:eastAsia="仿宋_GB2312"/>
          <w:color w:val="auto"/>
          <w:szCs w:val="21"/>
          <w:highlight w:val="none"/>
        </w:rPr>
        <w:tab/>
      </w:r>
      <w:r>
        <w:rPr>
          <w:rFonts w:eastAsia="仿宋_GB2312"/>
          <w:color w:val="auto"/>
          <w:szCs w:val="21"/>
          <w:highlight w:val="none"/>
        </w:rPr>
        <w:t>15129044185</w:t>
      </w:r>
    </w:p>
    <w:p>
      <w:pPr>
        <w:ind w:firstLine="420" w:firstLineChars="200"/>
        <w:rPr>
          <w:rFonts w:eastAsia="仿宋_GB2312"/>
          <w:color w:val="auto"/>
          <w:szCs w:val="21"/>
          <w:highlight w:val="none"/>
        </w:rPr>
      </w:pPr>
      <w:r>
        <w:rPr>
          <w:rFonts w:eastAsia="仿宋_GB2312"/>
          <w:color w:val="auto"/>
          <w:szCs w:val="21"/>
          <w:highlight w:val="none"/>
        </w:rPr>
        <w:t>雁塔路支行</w:t>
      </w:r>
      <w:r>
        <w:rPr>
          <w:rFonts w:eastAsia="仿宋_GB2312"/>
          <w:color w:val="auto"/>
          <w:szCs w:val="21"/>
          <w:highlight w:val="none"/>
        </w:rPr>
        <w:tab/>
      </w:r>
      <w:r>
        <w:rPr>
          <w:rFonts w:eastAsia="仿宋_GB2312"/>
          <w:color w:val="auto"/>
          <w:szCs w:val="21"/>
          <w:highlight w:val="none"/>
        </w:rPr>
        <w:t>闫梓闶</w:t>
      </w:r>
      <w:r>
        <w:rPr>
          <w:rFonts w:eastAsia="仿宋_GB2312"/>
          <w:color w:val="auto"/>
          <w:szCs w:val="21"/>
          <w:highlight w:val="none"/>
        </w:rPr>
        <w:tab/>
      </w:r>
      <w:r>
        <w:rPr>
          <w:rFonts w:eastAsia="仿宋_GB2312"/>
          <w:color w:val="auto"/>
          <w:szCs w:val="21"/>
          <w:highlight w:val="none"/>
        </w:rPr>
        <w:t>82222501</w:t>
      </w:r>
      <w:r>
        <w:rPr>
          <w:rFonts w:eastAsia="仿宋_GB2312"/>
          <w:color w:val="auto"/>
          <w:szCs w:val="21"/>
          <w:highlight w:val="none"/>
        </w:rPr>
        <w:tab/>
      </w:r>
      <w:r>
        <w:rPr>
          <w:rFonts w:eastAsia="仿宋_GB2312"/>
          <w:color w:val="auto"/>
          <w:szCs w:val="21"/>
          <w:highlight w:val="none"/>
        </w:rPr>
        <w:t>18691561524</w:t>
      </w:r>
    </w:p>
    <w:p>
      <w:pPr>
        <w:ind w:firstLine="420" w:firstLineChars="200"/>
        <w:rPr>
          <w:rFonts w:eastAsia="仿宋_GB2312"/>
          <w:color w:val="auto"/>
          <w:szCs w:val="21"/>
          <w:highlight w:val="none"/>
        </w:rPr>
      </w:pPr>
      <w:r>
        <w:rPr>
          <w:rFonts w:eastAsia="仿宋_GB2312"/>
          <w:color w:val="auto"/>
          <w:szCs w:val="21"/>
          <w:highlight w:val="none"/>
        </w:rPr>
        <w:t>唐延路支行</w:t>
      </w:r>
      <w:r>
        <w:rPr>
          <w:rFonts w:eastAsia="仿宋_GB2312"/>
          <w:color w:val="auto"/>
          <w:szCs w:val="21"/>
          <w:highlight w:val="none"/>
        </w:rPr>
        <w:tab/>
      </w:r>
      <w:r>
        <w:rPr>
          <w:rFonts w:eastAsia="仿宋_GB2312"/>
          <w:color w:val="auto"/>
          <w:szCs w:val="21"/>
          <w:highlight w:val="none"/>
        </w:rPr>
        <w:t>尉二宝</w:t>
      </w:r>
      <w:r>
        <w:rPr>
          <w:rFonts w:eastAsia="仿宋_GB2312"/>
          <w:color w:val="auto"/>
          <w:szCs w:val="21"/>
          <w:highlight w:val="none"/>
        </w:rPr>
        <w:tab/>
      </w:r>
      <w:r>
        <w:rPr>
          <w:rFonts w:eastAsia="仿宋_GB2312"/>
          <w:color w:val="auto"/>
          <w:szCs w:val="21"/>
          <w:highlight w:val="none"/>
        </w:rPr>
        <w:t>88329478</w:t>
      </w:r>
      <w:r>
        <w:rPr>
          <w:rFonts w:eastAsia="仿宋_GB2312"/>
          <w:color w:val="auto"/>
          <w:szCs w:val="21"/>
          <w:highlight w:val="none"/>
        </w:rPr>
        <w:tab/>
      </w:r>
      <w:r>
        <w:rPr>
          <w:rFonts w:eastAsia="仿宋_GB2312"/>
          <w:color w:val="auto"/>
          <w:szCs w:val="21"/>
          <w:highlight w:val="none"/>
        </w:rPr>
        <w:t>13991930150</w:t>
      </w:r>
    </w:p>
    <w:p>
      <w:pPr>
        <w:ind w:firstLine="420" w:firstLineChars="200"/>
        <w:rPr>
          <w:rFonts w:eastAsia="仿宋_GB2312"/>
          <w:color w:val="auto"/>
          <w:szCs w:val="21"/>
          <w:highlight w:val="none"/>
        </w:rPr>
      </w:pPr>
      <w:r>
        <w:rPr>
          <w:rFonts w:eastAsia="仿宋_GB2312"/>
          <w:color w:val="auto"/>
          <w:szCs w:val="21"/>
          <w:highlight w:val="none"/>
        </w:rPr>
        <w:t>枫林绿洲支行</w:t>
      </w:r>
      <w:r>
        <w:rPr>
          <w:rFonts w:eastAsia="仿宋_GB2312"/>
          <w:color w:val="auto"/>
          <w:szCs w:val="21"/>
          <w:highlight w:val="none"/>
        </w:rPr>
        <w:tab/>
      </w:r>
      <w:r>
        <w:rPr>
          <w:rFonts w:eastAsia="仿宋_GB2312"/>
          <w:color w:val="auto"/>
          <w:szCs w:val="21"/>
          <w:highlight w:val="none"/>
        </w:rPr>
        <w:t>杨 嘉</w:t>
      </w:r>
      <w:r>
        <w:rPr>
          <w:rFonts w:eastAsia="仿宋_GB2312"/>
          <w:color w:val="auto"/>
          <w:szCs w:val="21"/>
          <w:highlight w:val="none"/>
        </w:rPr>
        <w:tab/>
      </w:r>
      <w:r>
        <w:rPr>
          <w:rFonts w:eastAsia="仿宋_GB2312"/>
          <w:color w:val="auto"/>
          <w:szCs w:val="21"/>
          <w:highlight w:val="none"/>
        </w:rPr>
        <w:t>87302120</w:t>
      </w:r>
      <w:r>
        <w:rPr>
          <w:rFonts w:eastAsia="仿宋_GB2312"/>
          <w:color w:val="auto"/>
          <w:szCs w:val="21"/>
          <w:highlight w:val="none"/>
        </w:rPr>
        <w:tab/>
      </w:r>
      <w:r>
        <w:rPr>
          <w:rFonts w:eastAsia="仿宋_GB2312"/>
          <w:color w:val="auto"/>
          <w:szCs w:val="21"/>
          <w:highlight w:val="none"/>
        </w:rPr>
        <w:t>13609199490</w:t>
      </w:r>
    </w:p>
    <w:p>
      <w:pPr>
        <w:ind w:firstLine="420" w:firstLineChars="200"/>
        <w:rPr>
          <w:rFonts w:eastAsia="仿宋_GB2312"/>
          <w:color w:val="auto"/>
          <w:szCs w:val="21"/>
          <w:highlight w:val="none"/>
        </w:rPr>
      </w:pPr>
      <w:r>
        <w:rPr>
          <w:rFonts w:eastAsia="仿宋_GB2312"/>
          <w:color w:val="auto"/>
          <w:szCs w:val="21"/>
          <w:highlight w:val="none"/>
        </w:rPr>
        <w:t>南关正街支行</w:t>
      </w:r>
      <w:r>
        <w:rPr>
          <w:rFonts w:eastAsia="仿宋_GB2312"/>
          <w:color w:val="auto"/>
          <w:szCs w:val="21"/>
          <w:highlight w:val="none"/>
        </w:rPr>
        <w:tab/>
      </w:r>
      <w:r>
        <w:rPr>
          <w:rFonts w:eastAsia="仿宋_GB2312"/>
          <w:color w:val="auto"/>
          <w:szCs w:val="21"/>
          <w:highlight w:val="none"/>
        </w:rPr>
        <w:t>郭 敏</w:t>
      </w:r>
      <w:r>
        <w:rPr>
          <w:rFonts w:eastAsia="仿宋_GB2312"/>
          <w:color w:val="auto"/>
          <w:szCs w:val="21"/>
          <w:highlight w:val="none"/>
        </w:rPr>
        <w:tab/>
      </w:r>
      <w:r>
        <w:rPr>
          <w:rFonts w:eastAsia="仿宋_GB2312"/>
          <w:color w:val="auto"/>
          <w:szCs w:val="21"/>
          <w:highlight w:val="none"/>
        </w:rPr>
        <w:t>85230722</w:t>
      </w:r>
      <w:r>
        <w:rPr>
          <w:rFonts w:eastAsia="仿宋_GB2312"/>
          <w:color w:val="auto"/>
          <w:szCs w:val="21"/>
          <w:highlight w:val="none"/>
        </w:rPr>
        <w:tab/>
      </w:r>
      <w:r>
        <w:rPr>
          <w:rFonts w:eastAsia="仿宋_GB2312"/>
          <w:color w:val="auto"/>
          <w:szCs w:val="21"/>
          <w:highlight w:val="none"/>
        </w:rPr>
        <w:t>18066610983</w:t>
      </w:r>
    </w:p>
    <w:p>
      <w:pPr>
        <w:ind w:firstLine="420" w:firstLineChars="200"/>
        <w:rPr>
          <w:rFonts w:eastAsia="仿宋_GB2312"/>
          <w:color w:val="auto"/>
          <w:szCs w:val="21"/>
          <w:highlight w:val="none"/>
        </w:rPr>
      </w:pPr>
      <w:r>
        <w:rPr>
          <w:rFonts w:eastAsia="仿宋_GB2312"/>
          <w:color w:val="auto"/>
          <w:szCs w:val="21"/>
          <w:highlight w:val="none"/>
        </w:rPr>
        <w:t>南二环支行</w:t>
      </w:r>
      <w:r>
        <w:rPr>
          <w:rFonts w:eastAsia="仿宋_GB2312"/>
          <w:color w:val="auto"/>
          <w:szCs w:val="21"/>
          <w:highlight w:val="none"/>
        </w:rPr>
        <w:tab/>
      </w:r>
      <w:r>
        <w:rPr>
          <w:rFonts w:eastAsia="仿宋_GB2312"/>
          <w:color w:val="auto"/>
          <w:szCs w:val="21"/>
          <w:highlight w:val="none"/>
        </w:rPr>
        <w:t>刘 超</w:t>
      </w:r>
      <w:r>
        <w:rPr>
          <w:rFonts w:eastAsia="仿宋_GB2312"/>
          <w:color w:val="auto"/>
          <w:szCs w:val="21"/>
          <w:highlight w:val="none"/>
        </w:rPr>
        <w:tab/>
      </w:r>
      <w:r>
        <w:rPr>
          <w:rFonts w:eastAsia="仿宋_GB2312"/>
          <w:color w:val="auto"/>
          <w:szCs w:val="21"/>
          <w:highlight w:val="none"/>
        </w:rPr>
        <w:t>88362861</w:t>
      </w:r>
      <w:r>
        <w:rPr>
          <w:rFonts w:eastAsia="仿宋_GB2312"/>
          <w:color w:val="auto"/>
          <w:szCs w:val="21"/>
          <w:highlight w:val="none"/>
        </w:rPr>
        <w:tab/>
      </w:r>
      <w:r>
        <w:rPr>
          <w:rFonts w:eastAsia="仿宋_GB2312"/>
          <w:color w:val="auto"/>
          <w:szCs w:val="21"/>
          <w:highlight w:val="none"/>
        </w:rPr>
        <w:t>18192080396</w:t>
      </w:r>
    </w:p>
    <w:p>
      <w:pPr>
        <w:ind w:firstLine="420" w:firstLineChars="200"/>
        <w:rPr>
          <w:rFonts w:eastAsia="仿宋_GB2312"/>
          <w:color w:val="auto"/>
          <w:szCs w:val="21"/>
          <w:highlight w:val="none"/>
        </w:rPr>
      </w:pPr>
      <w:r>
        <w:rPr>
          <w:rFonts w:eastAsia="仿宋_GB2312"/>
          <w:color w:val="auto"/>
          <w:szCs w:val="21"/>
          <w:highlight w:val="none"/>
        </w:rPr>
        <w:t>曲江支行</w:t>
      </w:r>
      <w:r>
        <w:rPr>
          <w:rFonts w:eastAsia="仿宋_GB2312"/>
          <w:color w:val="auto"/>
          <w:szCs w:val="21"/>
          <w:highlight w:val="none"/>
        </w:rPr>
        <w:tab/>
      </w:r>
      <w:r>
        <w:rPr>
          <w:rFonts w:eastAsia="仿宋_GB2312"/>
          <w:color w:val="auto"/>
          <w:szCs w:val="21"/>
          <w:highlight w:val="none"/>
        </w:rPr>
        <w:t>田 鹏</w:t>
      </w:r>
      <w:r>
        <w:rPr>
          <w:rFonts w:eastAsia="仿宋_GB2312"/>
          <w:color w:val="auto"/>
          <w:szCs w:val="21"/>
          <w:highlight w:val="none"/>
        </w:rPr>
        <w:tab/>
      </w:r>
      <w:r>
        <w:rPr>
          <w:rFonts w:eastAsia="仿宋_GB2312"/>
          <w:color w:val="auto"/>
          <w:szCs w:val="21"/>
          <w:highlight w:val="none"/>
        </w:rPr>
        <w:t>81205890</w:t>
      </w:r>
      <w:r>
        <w:rPr>
          <w:rFonts w:eastAsia="仿宋_GB2312"/>
          <w:color w:val="auto"/>
          <w:szCs w:val="21"/>
          <w:highlight w:val="none"/>
        </w:rPr>
        <w:tab/>
      </w:r>
      <w:r>
        <w:rPr>
          <w:rFonts w:eastAsia="仿宋_GB2312"/>
          <w:color w:val="auto"/>
          <w:szCs w:val="21"/>
          <w:highlight w:val="none"/>
        </w:rPr>
        <w:t>13991937977</w:t>
      </w:r>
    </w:p>
    <w:p>
      <w:pPr>
        <w:ind w:firstLine="420" w:firstLineChars="200"/>
        <w:rPr>
          <w:rFonts w:eastAsia="仿宋_GB2312"/>
          <w:color w:val="auto"/>
          <w:szCs w:val="21"/>
          <w:highlight w:val="none"/>
        </w:rPr>
      </w:pPr>
      <w:r>
        <w:rPr>
          <w:rFonts w:eastAsia="仿宋_GB2312"/>
          <w:color w:val="auto"/>
          <w:szCs w:val="21"/>
          <w:highlight w:val="none"/>
        </w:rPr>
        <w:t>太白路支行</w:t>
      </w:r>
      <w:r>
        <w:rPr>
          <w:rFonts w:eastAsia="仿宋_GB2312"/>
          <w:color w:val="auto"/>
          <w:szCs w:val="21"/>
          <w:highlight w:val="none"/>
        </w:rPr>
        <w:tab/>
      </w:r>
      <w:r>
        <w:rPr>
          <w:rFonts w:eastAsia="仿宋_GB2312"/>
          <w:color w:val="auto"/>
          <w:szCs w:val="21"/>
          <w:highlight w:val="none"/>
        </w:rPr>
        <w:t>马振林</w:t>
      </w:r>
      <w:r>
        <w:rPr>
          <w:rFonts w:eastAsia="仿宋_GB2312"/>
          <w:color w:val="auto"/>
          <w:szCs w:val="21"/>
          <w:highlight w:val="none"/>
        </w:rPr>
        <w:tab/>
      </w:r>
      <w:r>
        <w:rPr>
          <w:rFonts w:eastAsia="仿宋_GB2312"/>
          <w:color w:val="auto"/>
          <w:szCs w:val="21"/>
          <w:highlight w:val="none"/>
        </w:rPr>
        <w:t>68912880</w:t>
      </w:r>
      <w:r>
        <w:rPr>
          <w:rFonts w:eastAsia="仿宋_GB2312"/>
          <w:color w:val="auto"/>
          <w:szCs w:val="21"/>
          <w:highlight w:val="none"/>
        </w:rPr>
        <w:tab/>
      </w:r>
      <w:r>
        <w:rPr>
          <w:rFonts w:eastAsia="仿宋_GB2312"/>
          <w:color w:val="auto"/>
          <w:szCs w:val="21"/>
          <w:highlight w:val="none"/>
        </w:rPr>
        <w:t>15353736656</w:t>
      </w:r>
    </w:p>
    <w:p>
      <w:pPr>
        <w:ind w:firstLine="420" w:firstLineChars="200"/>
        <w:rPr>
          <w:rFonts w:eastAsia="仿宋_GB2312"/>
          <w:color w:val="auto"/>
          <w:szCs w:val="21"/>
          <w:highlight w:val="none"/>
        </w:rPr>
      </w:pPr>
      <w:r>
        <w:rPr>
          <w:rFonts w:eastAsia="仿宋_GB2312"/>
          <w:color w:val="auto"/>
          <w:szCs w:val="21"/>
          <w:highlight w:val="none"/>
        </w:rPr>
        <w:t>明光路支行</w:t>
      </w:r>
      <w:r>
        <w:rPr>
          <w:rFonts w:eastAsia="仿宋_GB2312"/>
          <w:color w:val="auto"/>
          <w:szCs w:val="21"/>
          <w:highlight w:val="none"/>
        </w:rPr>
        <w:tab/>
      </w:r>
      <w:r>
        <w:rPr>
          <w:rFonts w:eastAsia="仿宋_GB2312"/>
          <w:color w:val="auto"/>
          <w:szCs w:val="21"/>
          <w:highlight w:val="none"/>
        </w:rPr>
        <w:t>刘二渭</w:t>
      </w:r>
      <w:r>
        <w:rPr>
          <w:rFonts w:eastAsia="仿宋_GB2312"/>
          <w:color w:val="auto"/>
          <w:szCs w:val="21"/>
          <w:highlight w:val="none"/>
        </w:rPr>
        <w:tab/>
      </w:r>
      <w:r>
        <w:rPr>
          <w:rFonts w:eastAsia="仿宋_GB2312"/>
          <w:color w:val="auto"/>
          <w:szCs w:val="21"/>
          <w:highlight w:val="none"/>
        </w:rPr>
        <w:t>81623506</w:t>
      </w:r>
      <w:r>
        <w:rPr>
          <w:rFonts w:eastAsia="仿宋_GB2312"/>
          <w:color w:val="auto"/>
          <w:szCs w:val="21"/>
          <w:highlight w:val="none"/>
        </w:rPr>
        <w:tab/>
      </w:r>
      <w:r>
        <w:rPr>
          <w:rFonts w:eastAsia="仿宋_GB2312"/>
          <w:color w:val="auto"/>
          <w:szCs w:val="21"/>
          <w:highlight w:val="none"/>
        </w:rPr>
        <w:t>13201793405</w:t>
      </w:r>
    </w:p>
    <w:p>
      <w:pPr>
        <w:ind w:firstLine="420" w:firstLineChars="200"/>
        <w:rPr>
          <w:rFonts w:eastAsia="仿宋_GB2312"/>
          <w:color w:val="auto"/>
          <w:szCs w:val="21"/>
          <w:highlight w:val="none"/>
        </w:rPr>
      </w:pPr>
      <w:r>
        <w:rPr>
          <w:rFonts w:eastAsia="仿宋_GB2312"/>
          <w:color w:val="auto"/>
          <w:szCs w:val="21"/>
          <w:highlight w:val="none"/>
        </w:rPr>
        <w:t>凤城二路支行</w:t>
      </w:r>
      <w:r>
        <w:rPr>
          <w:rFonts w:eastAsia="仿宋_GB2312"/>
          <w:color w:val="auto"/>
          <w:szCs w:val="21"/>
          <w:highlight w:val="none"/>
        </w:rPr>
        <w:tab/>
      </w:r>
      <w:r>
        <w:rPr>
          <w:rFonts w:eastAsia="仿宋_GB2312"/>
          <w:color w:val="auto"/>
          <w:szCs w:val="21"/>
          <w:highlight w:val="none"/>
        </w:rPr>
        <w:t>张 洋</w:t>
      </w:r>
      <w:r>
        <w:rPr>
          <w:rFonts w:eastAsia="仿宋_GB2312"/>
          <w:color w:val="auto"/>
          <w:szCs w:val="21"/>
          <w:highlight w:val="none"/>
        </w:rPr>
        <w:tab/>
      </w:r>
      <w:r>
        <w:rPr>
          <w:rFonts w:eastAsia="仿宋_GB2312"/>
          <w:color w:val="auto"/>
          <w:szCs w:val="21"/>
          <w:highlight w:val="none"/>
        </w:rPr>
        <w:t>86680267</w:t>
      </w:r>
      <w:r>
        <w:rPr>
          <w:rFonts w:eastAsia="仿宋_GB2312"/>
          <w:color w:val="auto"/>
          <w:szCs w:val="21"/>
          <w:highlight w:val="none"/>
        </w:rPr>
        <w:tab/>
      </w:r>
      <w:r>
        <w:rPr>
          <w:rFonts w:eastAsia="仿宋_GB2312"/>
          <w:color w:val="auto"/>
          <w:szCs w:val="21"/>
          <w:highlight w:val="none"/>
        </w:rPr>
        <w:t>13720423343</w:t>
      </w:r>
    </w:p>
    <w:p>
      <w:pPr>
        <w:ind w:firstLine="420" w:firstLineChars="200"/>
        <w:rPr>
          <w:rFonts w:eastAsia="仿宋_GB2312"/>
          <w:color w:val="auto"/>
          <w:szCs w:val="21"/>
          <w:highlight w:val="none"/>
        </w:rPr>
      </w:pPr>
      <w:r>
        <w:rPr>
          <w:rFonts w:eastAsia="仿宋_GB2312"/>
          <w:color w:val="auto"/>
          <w:szCs w:val="21"/>
          <w:highlight w:val="none"/>
        </w:rPr>
        <w:t>昆明路支行</w:t>
      </w:r>
      <w:r>
        <w:rPr>
          <w:rFonts w:eastAsia="仿宋_GB2312"/>
          <w:color w:val="auto"/>
          <w:szCs w:val="21"/>
          <w:highlight w:val="none"/>
        </w:rPr>
        <w:tab/>
      </w:r>
      <w:r>
        <w:rPr>
          <w:rFonts w:eastAsia="仿宋_GB2312"/>
          <w:color w:val="auto"/>
          <w:szCs w:val="21"/>
          <w:highlight w:val="none"/>
        </w:rPr>
        <w:t>张 洁</w:t>
      </w:r>
      <w:r>
        <w:rPr>
          <w:rFonts w:eastAsia="仿宋_GB2312"/>
          <w:color w:val="auto"/>
          <w:szCs w:val="21"/>
          <w:highlight w:val="none"/>
        </w:rPr>
        <w:tab/>
      </w:r>
      <w:r>
        <w:rPr>
          <w:rFonts w:eastAsia="仿宋_GB2312"/>
          <w:color w:val="auto"/>
          <w:szCs w:val="21"/>
          <w:highlight w:val="none"/>
        </w:rPr>
        <w:t>84592506</w:t>
      </w:r>
      <w:r>
        <w:rPr>
          <w:rFonts w:eastAsia="仿宋_GB2312"/>
          <w:color w:val="auto"/>
          <w:szCs w:val="21"/>
          <w:highlight w:val="none"/>
        </w:rPr>
        <w:tab/>
      </w:r>
      <w:r>
        <w:rPr>
          <w:rFonts w:eastAsia="仿宋_GB2312"/>
          <w:color w:val="auto"/>
          <w:szCs w:val="21"/>
          <w:highlight w:val="none"/>
        </w:rPr>
        <w:t>13991821278</w:t>
      </w:r>
    </w:p>
    <w:p>
      <w:pPr>
        <w:ind w:firstLine="420" w:firstLineChars="200"/>
        <w:rPr>
          <w:rFonts w:eastAsia="仿宋_GB2312"/>
          <w:color w:val="auto"/>
          <w:szCs w:val="21"/>
          <w:highlight w:val="none"/>
        </w:rPr>
      </w:pPr>
      <w:r>
        <w:rPr>
          <w:rFonts w:eastAsia="仿宋_GB2312"/>
          <w:color w:val="auto"/>
          <w:szCs w:val="21"/>
          <w:highlight w:val="none"/>
        </w:rPr>
        <w:t>丈八北路支行</w:t>
      </w:r>
      <w:r>
        <w:rPr>
          <w:rFonts w:eastAsia="仿宋_GB2312"/>
          <w:color w:val="auto"/>
          <w:szCs w:val="21"/>
          <w:highlight w:val="none"/>
        </w:rPr>
        <w:tab/>
      </w:r>
      <w:r>
        <w:rPr>
          <w:rFonts w:eastAsia="仿宋_GB2312"/>
          <w:color w:val="auto"/>
          <w:szCs w:val="21"/>
          <w:highlight w:val="none"/>
        </w:rPr>
        <w:t>郭 浩</w:t>
      </w:r>
      <w:r>
        <w:rPr>
          <w:rFonts w:eastAsia="仿宋_GB2312"/>
          <w:color w:val="auto"/>
          <w:szCs w:val="21"/>
          <w:highlight w:val="none"/>
        </w:rPr>
        <w:tab/>
      </w:r>
      <w:r>
        <w:rPr>
          <w:rFonts w:eastAsia="仿宋_GB2312"/>
          <w:color w:val="auto"/>
          <w:szCs w:val="21"/>
          <w:highlight w:val="none"/>
        </w:rPr>
        <w:t>81875192</w:t>
      </w:r>
      <w:r>
        <w:rPr>
          <w:rFonts w:eastAsia="仿宋_GB2312"/>
          <w:color w:val="auto"/>
          <w:szCs w:val="21"/>
          <w:highlight w:val="none"/>
        </w:rPr>
        <w:tab/>
      </w:r>
      <w:r>
        <w:rPr>
          <w:rFonts w:eastAsia="仿宋_GB2312"/>
          <w:color w:val="auto"/>
          <w:szCs w:val="21"/>
          <w:highlight w:val="none"/>
        </w:rPr>
        <w:t>15667087662</w:t>
      </w:r>
    </w:p>
    <w:p>
      <w:pPr>
        <w:ind w:firstLine="420" w:firstLineChars="200"/>
        <w:rPr>
          <w:rFonts w:eastAsia="仿宋_GB2312"/>
          <w:color w:val="auto"/>
          <w:szCs w:val="21"/>
          <w:highlight w:val="none"/>
        </w:rPr>
      </w:pPr>
      <w:r>
        <w:rPr>
          <w:rFonts w:eastAsia="仿宋_GB2312"/>
          <w:color w:val="auto"/>
          <w:szCs w:val="21"/>
          <w:highlight w:val="none"/>
        </w:rPr>
        <w:t>新城支行</w:t>
      </w:r>
      <w:r>
        <w:rPr>
          <w:rFonts w:eastAsia="仿宋_GB2312"/>
          <w:color w:val="auto"/>
          <w:szCs w:val="21"/>
          <w:highlight w:val="none"/>
        </w:rPr>
        <w:tab/>
      </w:r>
      <w:r>
        <w:rPr>
          <w:rFonts w:eastAsia="仿宋_GB2312"/>
          <w:color w:val="auto"/>
          <w:szCs w:val="21"/>
          <w:highlight w:val="none"/>
        </w:rPr>
        <w:t>余振东</w:t>
      </w:r>
      <w:r>
        <w:rPr>
          <w:rFonts w:eastAsia="仿宋_GB2312"/>
          <w:color w:val="auto"/>
          <w:szCs w:val="21"/>
          <w:highlight w:val="none"/>
        </w:rPr>
        <w:tab/>
      </w:r>
      <w:r>
        <w:rPr>
          <w:rFonts w:eastAsia="仿宋_GB2312"/>
          <w:color w:val="auto"/>
          <w:szCs w:val="21"/>
          <w:highlight w:val="none"/>
        </w:rPr>
        <w:t>87251680</w:t>
      </w:r>
      <w:r>
        <w:rPr>
          <w:rFonts w:eastAsia="仿宋_GB2312"/>
          <w:color w:val="auto"/>
          <w:szCs w:val="21"/>
          <w:highlight w:val="none"/>
        </w:rPr>
        <w:tab/>
      </w:r>
      <w:r>
        <w:rPr>
          <w:rFonts w:eastAsia="仿宋_GB2312"/>
          <w:color w:val="auto"/>
          <w:szCs w:val="21"/>
          <w:highlight w:val="none"/>
        </w:rPr>
        <w:t>18066617238</w:t>
      </w:r>
    </w:p>
    <w:p>
      <w:pPr>
        <w:rPr>
          <w:rFonts w:eastAsia="仿宋_GB2312"/>
          <w:b/>
          <w:color w:val="auto"/>
          <w:szCs w:val="21"/>
          <w:highlight w:val="none"/>
        </w:rPr>
      </w:pPr>
      <w:r>
        <w:rPr>
          <w:rFonts w:eastAsia="仿宋_GB2312"/>
          <w:b/>
          <w:color w:val="auto"/>
          <w:szCs w:val="21"/>
          <w:highlight w:val="none"/>
        </w:rPr>
        <w:t>六、浦发银行 （政采e贷）</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吴晨雨</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029-63603803</w:t>
      </w:r>
      <w:r>
        <w:rPr>
          <w:rFonts w:eastAsia="仿宋_GB2312"/>
          <w:color w:val="auto"/>
          <w:szCs w:val="21"/>
          <w:highlight w:val="none"/>
        </w:rPr>
        <w:tab/>
      </w:r>
      <w:r>
        <w:rPr>
          <w:rFonts w:eastAsia="仿宋_GB2312"/>
          <w:color w:val="auto"/>
          <w:szCs w:val="21"/>
          <w:highlight w:val="none"/>
        </w:rPr>
        <w:t>15991724645</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陈福全</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029-63603441</w:t>
      </w:r>
      <w:r>
        <w:rPr>
          <w:rFonts w:eastAsia="仿宋_GB2312"/>
          <w:color w:val="auto"/>
          <w:szCs w:val="21"/>
          <w:highlight w:val="none"/>
        </w:rPr>
        <w:tab/>
      </w:r>
      <w:r>
        <w:rPr>
          <w:rFonts w:eastAsia="仿宋_GB2312"/>
          <w:color w:val="auto"/>
          <w:szCs w:val="21"/>
          <w:highlight w:val="none"/>
        </w:rPr>
        <w:t>17782511994</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韩瑾</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029-63603443</w:t>
      </w:r>
      <w:r>
        <w:rPr>
          <w:rFonts w:eastAsia="仿宋_GB2312"/>
          <w:color w:val="auto"/>
          <w:szCs w:val="21"/>
          <w:highlight w:val="none"/>
        </w:rPr>
        <w:tab/>
      </w:r>
      <w:r>
        <w:rPr>
          <w:rFonts w:eastAsia="仿宋_GB2312"/>
          <w:color w:val="auto"/>
          <w:szCs w:val="21"/>
          <w:highlight w:val="none"/>
        </w:rPr>
        <w:t>18202909790</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李瑞雪</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029-63603445</w:t>
      </w:r>
      <w:r>
        <w:rPr>
          <w:rFonts w:eastAsia="仿宋_GB2312"/>
          <w:color w:val="auto"/>
          <w:szCs w:val="21"/>
          <w:highlight w:val="none"/>
        </w:rPr>
        <w:tab/>
      </w:r>
      <w:r>
        <w:rPr>
          <w:rFonts w:eastAsia="仿宋_GB2312"/>
          <w:color w:val="auto"/>
          <w:szCs w:val="21"/>
          <w:highlight w:val="none"/>
        </w:rPr>
        <w:t>18220862398</w:t>
      </w:r>
    </w:p>
    <w:p>
      <w:pPr>
        <w:ind w:firstLine="420" w:firstLineChars="200"/>
        <w:rPr>
          <w:rFonts w:eastAsia="仿宋_GB2312"/>
          <w:color w:val="auto"/>
          <w:szCs w:val="21"/>
          <w:highlight w:val="none"/>
        </w:rPr>
      </w:pPr>
      <w:r>
        <w:rPr>
          <w:rFonts w:eastAsia="仿宋_GB2312"/>
          <w:color w:val="auto"/>
          <w:szCs w:val="21"/>
          <w:highlight w:val="none"/>
        </w:rPr>
        <w:t>榆林分行</w:t>
      </w:r>
      <w:r>
        <w:rPr>
          <w:rFonts w:eastAsia="仿宋_GB2312"/>
          <w:color w:val="auto"/>
          <w:szCs w:val="21"/>
          <w:highlight w:val="none"/>
        </w:rPr>
        <w:tab/>
      </w:r>
      <w:r>
        <w:rPr>
          <w:rFonts w:eastAsia="仿宋_GB2312"/>
          <w:color w:val="auto"/>
          <w:szCs w:val="21"/>
          <w:highlight w:val="none"/>
        </w:rPr>
        <w:t>陈晓晓</w:t>
      </w:r>
      <w:r>
        <w:rPr>
          <w:rFonts w:eastAsia="仿宋_GB2312"/>
          <w:color w:val="auto"/>
          <w:szCs w:val="21"/>
          <w:highlight w:val="none"/>
        </w:rPr>
        <w:tab/>
      </w:r>
      <w:r>
        <w:rPr>
          <w:rFonts w:eastAsia="仿宋_GB2312"/>
          <w:color w:val="auto"/>
          <w:szCs w:val="21"/>
          <w:highlight w:val="none"/>
        </w:rPr>
        <w:t>公司业务部</w:t>
      </w:r>
      <w:r>
        <w:rPr>
          <w:rFonts w:eastAsia="仿宋_GB2312"/>
          <w:color w:val="auto"/>
          <w:szCs w:val="21"/>
          <w:highlight w:val="none"/>
        </w:rPr>
        <w:tab/>
      </w:r>
      <w:r>
        <w:rPr>
          <w:rFonts w:eastAsia="仿宋_GB2312"/>
          <w:color w:val="auto"/>
          <w:szCs w:val="21"/>
          <w:highlight w:val="none"/>
        </w:rPr>
        <w:t>0912-2216068</w:t>
      </w:r>
      <w:r>
        <w:rPr>
          <w:rFonts w:eastAsia="仿宋_GB2312"/>
          <w:color w:val="auto"/>
          <w:szCs w:val="21"/>
          <w:highlight w:val="none"/>
        </w:rPr>
        <w:tab/>
      </w:r>
      <w:r>
        <w:rPr>
          <w:rFonts w:eastAsia="仿宋_GB2312"/>
          <w:color w:val="auto"/>
          <w:szCs w:val="21"/>
          <w:highlight w:val="none"/>
        </w:rPr>
        <w:t>15691269965</w:t>
      </w:r>
    </w:p>
    <w:p>
      <w:pPr>
        <w:ind w:firstLine="420" w:firstLineChars="200"/>
        <w:rPr>
          <w:rFonts w:eastAsia="仿宋_GB2312"/>
          <w:color w:val="auto"/>
          <w:szCs w:val="21"/>
          <w:highlight w:val="none"/>
        </w:rPr>
      </w:pPr>
      <w:r>
        <w:rPr>
          <w:rFonts w:eastAsia="仿宋_GB2312"/>
          <w:color w:val="auto"/>
          <w:szCs w:val="21"/>
          <w:highlight w:val="none"/>
        </w:rPr>
        <w:t>榆林分行</w:t>
      </w:r>
      <w:r>
        <w:rPr>
          <w:rFonts w:eastAsia="仿宋_GB2312"/>
          <w:color w:val="auto"/>
          <w:szCs w:val="21"/>
          <w:highlight w:val="none"/>
        </w:rPr>
        <w:tab/>
      </w:r>
      <w:r>
        <w:rPr>
          <w:rFonts w:eastAsia="仿宋_GB2312"/>
          <w:color w:val="auto"/>
          <w:szCs w:val="21"/>
          <w:highlight w:val="none"/>
        </w:rPr>
        <w:t>郭小东</w:t>
      </w:r>
      <w:r>
        <w:rPr>
          <w:rFonts w:eastAsia="仿宋_GB2312"/>
          <w:color w:val="auto"/>
          <w:szCs w:val="21"/>
          <w:highlight w:val="none"/>
        </w:rPr>
        <w:tab/>
      </w:r>
      <w:r>
        <w:rPr>
          <w:rFonts w:eastAsia="仿宋_GB2312"/>
          <w:color w:val="auto"/>
          <w:szCs w:val="21"/>
          <w:highlight w:val="none"/>
        </w:rPr>
        <w:t>公司业务部</w:t>
      </w:r>
      <w:r>
        <w:rPr>
          <w:rFonts w:eastAsia="仿宋_GB2312"/>
          <w:color w:val="auto"/>
          <w:szCs w:val="21"/>
          <w:highlight w:val="none"/>
        </w:rPr>
        <w:tab/>
      </w:r>
      <w:r>
        <w:rPr>
          <w:rFonts w:eastAsia="仿宋_GB2312"/>
          <w:color w:val="auto"/>
          <w:szCs w:val="21"/>
          <w:highlight w:val="none"/>
        </w:rPr>
        <w:t>0912-2216008</w:t>
      </w:r>
      <w:r>
        <w:rPr>
          <w:rFonts w:eastAsia="仿宋_GB2312"/>
          <w:color w:val="auto"/>
          <w:szCs w:val="21"/>
          <w:highlight w:val="none"/>
        </w:rPr>
        <w:tab/>
      </w:r>
      <w:r>
        <w:rPr>
          <w:rFonts w:eastAsia="仿宋_GB2312"/>
          <w:color w:val="auto"/>
          <w:szCs w:val="21"/>
          <w:highlight w:val="none"/>
        </w:rPr>
        <w:t>15291820586</w:t>
      </w:r>
    </w:p>
    <w:p>
      <w:pPr>
        <w:ind w:firstLine="420" w:firstLineChars="200"/>
        <w:rPr>
          <w:rFonts w:eastAsia="仿宋_GB2312"/>
          <w:color w:val="auto"/>
          <w:szCs w:val="21"/>
          <w:highlight w:val="none"/>
        </w:rPr>
      </w:pPr>
      <w:r>
        <w:rPr>
          <w:rFonts w:eastAsia="仿宋_GB2312"/>
          <w:color w:val="auto"/>
          <w:szCs w:val="21"/>
          <w:highlight w:val="none"/>
        </w:rPr>
        <w:t>宝鸡分行</w:t>
      </w:r>
      <w:r>
        <w:rPr>
          <w:rFonts w:eastAsia="仿宋_GB2312"/>
          <w:color w:val="auto"/>
          <w:szCs w:val="21"/>
          <w:highlight w:val="none"/>
        </w:rPr>
        <w:tab/>
      </w:r>
      <w:r>
        <w:rPr>
          <w:rFonts w:eastAsia="仿宋_GB2312"/>
          <w:color w:val="auto"/>
          <w:szCs w:val="21"/>
          <w:highlight w:val="none"/>
        </w:rPr>
        <w:t>张一岚</w:t>
      </w:r>
      <w:r>
        <w:rPr>
          <w:rFonts w:eastAsia="仿宋_GB2312"/>
          <w:color w:val="auto"/>
          <w:szCs w:val="21"/>
          <w:highlight w:val="none"/>
        </w:rPr>
        <w:tab/>
      </w:r>
      <w:r>
        <w:rPr>
          <w:rFonts w:eastAsia="仿宋_GB2312"/>
          <w:color w:val="auto"/>
          <w:szCs w:val="21"/>
          <w:highlight w:val="none"/>
        </w:rPr>
        <w:t>公司业务部</w:t>
      </w:r>
      <w:r>
        <w:rPr>
          <w:rFonts w:eastAsia="仿宋_GB2312"/>
          <w:color w:val="auto"/>
          <w:szCs w:val="21"/>
          <w:highlight w:val="none"/>
        </w:rPr>
        <w:tab/>
      </w:r>
      <w:r>
        <w:rPr>
          <w:rFonts w:eastAsia="仿宋_GB2312"/>
          <w:color w:val="auto"/>
          <w:szCs w:val="21"/>
          <w:highlight w:val="none"/>
        </w:rPr>
        <w:t xml:space="preserve">0917-8662919 </w:t>
      </w:r>
      <w:r>
        <w:rPr>
          <w:rFonts w:eastAsia="仿宋_GB2312"/>
          <w:color w:val="auto"/>
          <w:szCs w:val="21"/>
          <w:highlight w:val="none"/>
        </w:rPr>
        <w:tab/>
      </w:r>
      <w:r>
        <w:rPr>
          <w:rFonts w:eastAsia="仿宋_GB2312"/>
          <w:color w:val="auto"/>
          <w:szCs w:val="21"/>
          <w:highlight w:val="none"/>
        </w:rPr>
        <w:t>18690008816</w:t>
      </w:r>
    </w:p>
    <w:p>
      <w:pPr>
        <w:ind w:firstLine="420" w:firstLineChars="200"/>
        <w:rPr>
          <w:rFonts w:eastAsia="仿宋_GB2312"/>
          <w:color w:val="auto"/>
          <w:szCs w:val="21"/>
          <w:highlight w:val="none"/>
        </w:rPr>
      </w:pPr>
      <w:r>
        <w:rPr>
          <w:rFonts w:eastAsia="仿宋_GB2312"/>
          <w:color w:val="auto"/>
          <w:szCs w:val="21"/>
          <w:highlight w:val="none"/>
        </w:rPr>
        <w:t>宝鸡分行</w:t>
      </w:r>
      <w:r>
        <w:rPr>
          <w:rFonts w:eastAsia="仿宋_GB2312"/>
          <w:color w:val="auto"/>
          <w:szCs w:val="21"/>
          <w:highlight w:val="none"/>
        </w:rPr>
        <w:tab/>
      </w:r>
      <w:r>
        <w:rPr>
          <w:rFonts w:eastAsia="仿宋_GB2312"/>
          <w:color w:val="auto"/>
          <w:szCs w:val="21"/>
          <w:highlight w:val="none"/>
        </w:rPr>
        <w:t>朱强</w:t>
      </w:r>
      <w:r>
        <w:rPr>
          <w:rFonts w:eastAsia="仿宋_GB2312"/>
          <w:color w:val="auto"/>
          <w:szCs w:val="21"/>
          <w:highlight w:val="none"/>
        </w:rPr>
        <w:tab/>
      </w:r>
      <w:r>
        <w:rPr>
          <w:rFonts w:eastAsia="仿宋_GB2312"/>
          <w:color w:val="auto"/>
          <w:szCs w:val="21"/>
          <w:highlight w:val="none"/>
        </w:rPr>
        <w:t>公司业务部</w:t>
      </w:r>
      <w:r>
        <w:rPr>
          <w:rFonts w:eastAsia="仿宋_GB2312"/>
          <w:color w:val="auto"/>
          <w:szCs w:val="21"/>
          <w:highlight w:val="none"/>
        </w:rPr>
        <w:tab/>
      </w:r>
      <w:r>
        <w:rPr>
          <w:rFonts w:eastAsia="仿宋_GB2312"/>
          <w:color w:val="auto"/>
          <w:szCs w:val="21"/>
          <w:highlight w:val="none"/>
        </w:rPr>
        <w:t xml:space="preserve">0917-8662926 </w:t>
      </w:r>
      <w:r>
        <w:rPr>
          <w:rFonts w:eastAsia="仿宋_GB2312"/>
          <w:color w:val="auto"/>
          <w:szCs w:val="21"/>
          <w:highlight w:val="none"/>
        </w:rPr>
        <w:tab/>
      </w:r>
      <w:r>
        <w:rPr>
          <w:rFonts w:eastAsia="仿宋_GB2312"/>
          <w:color w:val="auto"/>
          <w:szCs w:val="21"/>
          <w:highlight w:val="none"/>
        </w:rPr>
        <w:t>13909176381</w:t>
      </w:r>
    </w:p>
    <w:p>
      <w:pPr>
        <w:ind w:firstLine="420" w:firstLineChars="200"/>
        <w:rPr>
          <w:rFonts w:eastAsia="仿宋_GB2312"/>
          <w:color w:val="auto"/>
          <w:szCs w:val="21"/>
          <w:highlight w:val="none"/>
        </w:rPr>
      </w:pPr>
      <w:r>
        <w:rPr>
          <w:rFonts w:eastAsia="仿宋_GB2312"/>
          <w:color w:val="auto"/>
          <w:szCs w:val="21"/>
          <w:highlight w:val="none"/>
        </w:rPr>
        <w:t>渭南分行</w:t>
      </w:r>
      <w:r>
        <w:rPr>
          <w:rFonts w:eastAsia="仿宋_GB2312"/>
          <w:color w:val="auto"/>
          <w:szCs w:val="21"/>
          <w:highlight w:val="none"/>
        </w:rPr>
        <w:tab/>
      </w:r>
      <w:r>
        <w:rPr>
          <w:rFonts w:eastAsia="仿宋_GB2312"/>
          <w:color w:val="auto"/>
          <w:szCs w:val="21"/>
          <w:highlight w:val="none"/>
        </w:rPr>
        <w:t>王晓峰</w:t>
      </w:r>
      <w:r>
        <w:rPr>
          <w:rFonts w:eastAsia="仿宋_GB2312"/>
          <w:color w:val="auto"/>
          <w:szCs w:val="21"/>
          <w:highlight w:val="none"/>
        </w:rPr>
        <w:tab/>
      </w:r>
      <w:r>
        <w:rPr>
          <w:rFonts w:eastAsia="仿宋_GB2312"/>
          <w:color w:val="auto"/>
          <w:szCs w:val="21"/>
          <w:highlight w:val="none"/>
        </w:rPr>
        <w:t>公司业务部</w:t>
      </w:r>
      <w:r>
        <w:rPr>
          <w:rFonts w:eastAsia="仿宋_GB2312"/>
          <w:color w:val="auto"/>
          <w:szCs w:val="21"/>
          <w:highlight w:val="none"/>
        </w:rPr>
        <w:tab/>
      </w:r>
      <w:r>
        <w:rPr>
          <w:rFonts w:eastAsia="仿宋_GB2312"/>
          <w:color w:val="auto"/>
          <w:szCs w:val="21"/>
          <w:highlight w:val="none"/>
        </w:rPr>
        <w:t>0913-3357080</w:t>
      </w:r>
      <w:r>
        <w:rPr>
          <w:rFonts w:eastAsia="仿宋_GB2312"/>
          <w:color w:val="auto"/>
          <w:szCs w:val="21"/>
          <w:highlight w:val="none"/>
        </w:rPr>
        <w:tab/>
      </w:r>
      <w:r>
        <w:rPr>
          <w:rFonts w:eastAsia="仿宋_GB2312"/>
          <w:color w:val="auto"/>
          <w:szCs w:val="21"/>
          <w:highlight w:val="none"/>
        </w:rPr>
        <w:t>13992363166</w:t>
      </w:r>
    </w:p>
    <w:p>
      <w:pPr>
        <w:ind w:firstLine="420" w:firstLineChars="200"/>
        <w:rPr>
          <w:rFonts w:eastAsia="仿宋_GB2312"/>
          <w:color w:val="auto"/>
          <w:szCs w:val="21"/>
          <w:highlight w:val="none"/>
        </w:rPr>
      </w:pPr>
      <w:r>
        <w:rPr>
          <w:rFonts w:eastAsia="仿宋_GB2312"/>
          <w:color w:val="auto"/>
          <w:szCs w:val="21"/>
          <w:highlight w:val="none"/>
        </w:rPr>
        <w:t>咸阳分行</w:t>
      </w:r>
      <w:r>
        <w:rPr>
          <w:rFonts w:eastAsia="仿宋_GB2312"/>
          <w:color w:val="auto"/>
          <w:szCs w:val="21"/>
          <w:highlight w:val="none"/>
        </w:rPr>
        <w:tab/>
      </w:r>
      <w:r>
        <w:rPr>
          <w:rFonts w:eastAsia="仿宋_GB2312"/>
          <w:color w:val="auto"/>
          <w:szCs w:val="21"/>
          <w:highlight w:val="none"/>
        </w:rPr>
        <w:t>薛晗</w:t>
      </w:r>
      <w:r>
        <w:rPr>
          <w:rFonts w:eastAsia="仿宋_GB2312"/>
          <w:color w:val="auto"/>
          <w:szCs w:val="21"/>
          <w:highlight w:val="none"/>
        </w:rPr>
        <w:tab/>
      </w:r>
      <w:r>
        <w:rPr>
          <w:rFonts w:eastAsia="仿宋_GB2312"/>
          <w:color w:val="auto"/>
          <w:szCs w:val="21"/>
          <w:highlight w:val="none"/>
        </w:rPr>
        <w:t>公司业务部</w:t>
      </w:r>
      <w:r>
        <w:rPr>
          <w:rFonts w:eastAsia="仿宋_GB2312"/>
          <w:color w:val="auto"/>
          <w:szCs w:val="21"/>
          <w:highlight w:val="none"/>
        </w:rPr>
        <w:tab/>
      </w:r>
      <w:r>
        <w:rPr>
          <w:rFonts w:eastAsia="仿宋_GB2312"/>
          <w:color w:val="auto"/>
          <w:szCs w:val="21"/>
          <w:highlight w:val="none"/>
        </w:rPr>
        <w:t>029-32083788</w:t>
      </w:r>
      <w:r>
        <w:rPr>
          <w:rFonts w:eastAsia="仿宋_GB2312"/>
          <w:color w:val="auto"/>
          <w:szCs w:val="21"/>
          <w:highlight w:val="none"/>
        </w:rPr>
        <w:tab/>
      </w:r>
      <w:r>
        <w:rPr>
          <w:rFonts w:eastAsia="仿宋_GB2312"/>
          <w:color w:val="auto"/>
          <w:szCs w:val="21"/>
          <w:highlight w:val="none"/>
        </w:rPr>
        <w:t>15109226216</w:t>
      </w:r>
    </w:p>
    <w:p>
      <w:pPr>
        <w:rPr>
          <w:rFonts w:eastAsia="仿宋_GB2312"/>
          <w:color w:val="auto"/>
          <w:szCs w:val="21"/>
          <w:highlight w:val="none"/>
        </w:rPr>
      </w:pPr>
    </w:p>
    <w:p>
      <w:pPr>
        <w:rPr>
          <w:rFonts w:eastAsia="仿宋_GB2312"/>
          <w:b/>
          <w:color w:val="auto"/>
          <w:szCs w:val="21"/>
          <w:highlight w:val="none"/>
        </w:rPr>
      </w:pPr>
      <w:r>
        <w:rPr>
          <w:rFonts w:eastAsia="仿宋_GB2312"/>
          <w:b/>
          <w:color w:val="auto"/>
          <w:szCs w:val="21"/>
          <w:highlight w:val="none"/>
        </w:rPr>
        <w:t>七、兴业银行（政采贷）</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朱靖</w:t>
      </w:r>
      <w:r>
        <w:rPr>
          <w:rFonts w:eastAsia="仿宋_GB2312"/>
          <w:color w:val="auto"/>
          <w:szCs w:val="21"/>
          <w:highlight w:val="none"/>
        </w:rPr>
        <w:tab/>
      </w:r>
      <w:r>
        <w:rPr>
          <w:rFonts w:eastAsia="仿宋_GB2312"/>
          <w:color w:val="auto"/>
          <w:szCs w:val="21"/>
          <w:highlight w:val="none"/>
        </w:rPr>
        <w:t>总监</w:t>
      </w:r>
      <w:r>
        <w:rPr>
          <w:rFonts w:eastAsia="仿宋_GB2312"/>
          <w:color w:val="auto"/>
          <w:szCs w:val="21"/>
          <w:highlight w:val="none"/>
        </w:rPr>
        <w:tab/>
      </w:r>
      <w:r>
        <w:rPr>
          <w:rFonts w:eastAsia="仿宋_GB2312"/>
          <w:color w:val="auto"/>
          <w:szCs w:val="21"/>
          <w:highlight w:val="none"/>
        </w:rPr>
        <w:t>029-87482998</w:t>
      </w:r>
      <w:r>
        <w:rPr>
          <w:rFonts w:eastAsia="仿宋_GB2312"/>
          <w:color w:val="auto"/>
          <w:szCs w:val="21"/>
          <w:highlight w:val="none"/>
        </w:rPr>
        <w:tab/>
      </w:r>
      <w:r>
        <w:rPr>
          <w:rFonts w:eastAsia="仿宋_GB2312"/>
          <w:color w:val="auto"/>
          <w:szCs w:val="21"/>
          <w:highlight w:val="none"/>
        </w:rPr>
        <w:t>13363979983</w:t>
      </w:r>
    </w:p>
    <w:p>
      <w:pPr>
        <w:rPr>
          <w:rFonts w:eastAsia="仿宋_GB2312"/>
          <w:b/>
          <w:color w:val="auto"/>
          <w:szCs w:val="21"/>
          <w:highlight w:val="none"/>
        </w:rPr>
      </w:pPr>
      <w:r>
        <w:rPr>
          <w:rFonts w:eastAsia="仿宋_GB2312"/>
          <w:b/>
          <w:color w:val="auto"/>
          <w:szCs w:val="21"/>
          <w:highlight w:val="none"/>
        </w:rPr>
        <w:t>八、中国民生银行（政采贷）</w:t>
      </w:r>
    </w:p>
    <w:p>
      <w:pPr>
        <w:ind w:left="2310" w:leftChars="200" w:hanging="1890" w:hangingChars="900"/>
        <w:rPr>
          <w:rFonts w:eastAsia="仿宋_GB2312"/>
          <w:color w:val="auto"/>
          <w:szCs w:val="21"/>
          <w:highlight w:val="none"/>
        </w:rPr>
      </w:pPr>
      <w:r>
        <w:rPr>
          <w:rFonts w:eastAsia="仿宋_GB2312"/>
          <w:color w:val="auto"/>
          <w:szCs w:val="21"/>
          <w:highlight w:val="none"/>
        </w:rPr>
        <w:t>民生银行西安分行  联系人：陈经理 联系电话：61815275 /18821669199</w:t>
      </w:r>
    </w:p>
    <w:p>
      <w:pPr>
        <w:ind w:left="2310" w:leftChars="200" w:hanging="1890" w:hangingChars="900"/>
        <w:rPr>
          <w:rFonts w:eastAsia="仿宋_GB2312"/>
          <w:color w:val="auto"/>
          <w:szCs w:val="21"/>
          <w:highlight w:val="none"/>
        </w:rPr>
      </w:pPr>
      <w:r>
        <w:rPr>
          <w:rFonts w:eastAsia="仿宋_GB2312"/>
          <w:color w:val="auto"/>
          <w:szCs w:val="21"/>
          <w:highlight w:val="none"/>
        </w:rPr>
        <w:t xml:space="preserve">联系人：王经理 联系电话：61815280 /18591953690 </w:t>
      </w:r>
    </w:p>
    <w:p>
      <w:pPr>
        <w:rPr>
          <w:rFonts w:eastAsia="仿宋_GB2312"/>
          <w:b/>
          <w:color w:val="auto"/>
          <w:szCs w:val="21"/>
          <w:highlight w:val="none"/>
        </w:rPr>
      </w:pPr>
      <w:r>
        <w:rPr>
          <w:rFonts w:eastAsia="仿宋_GB2312"/>
          <w:b/>
          <w:color w:val="auto"/>
          <w:szCs w:val="21"/>
          <w:highlight w:val="none"/>
        </w:rPr>
        <w:t>九、浙商银行 （政采贷）</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西安市雁塔区科技路259号</w:t>
      </w:r>
      <w:r>
        <w:rPr>
          <w:rFonts w:eastAsia="仿宋_GB2312"/>
          <w:color w:val="auto"/>
          <w:szCs w:val="21"/>
          <w:highlight w:val="none"/>
        </w:rPr>
        <w:tab/>
      </w:r>
      <w:r>
        <w:rPr>
          <w:rFonts w:eastAsia="仿宋_GB2312"/>
          <w:color w:val="auto"/>
          <w:szCs w:val="21"/>
          <w:highlight w:val="none"/>
        </w:rPr>
        <w:t>曹金辉</w:t>
      </w:r>
      <w:r>
        <w:rPr>
          <w:rFonts w:eastAsia="仿宋_GB2312"/>
          <w:color w:val="auto"/>
          <w:szCs w:val="21"/>
          <w:highlight w:val="none"/>
        </w:rPr>
        <w:tab/>
      </w:r>
      <w:r>
        <w:rPr>
          <w:rFonts w:eastAsia="仿宋_GB2312"/>
          <w:color w:val="auto"/>
          <w:szCs w:val="21"/>
          <w:highlight w:val="none"/>
        </w:rPr>
        <w:t>18710993980</w:t>
      </w:r>
    </w:p>
    <w:p>
      <w:pPr>
        <w:rPr>
          <w:rFonts w:eastAsia="仿宋_GB2312"/>
          <w:b/>
          <w:color w:val="auto"/>
          <w:szCs w:val="21"/>
          <w:highlight w:val="none"/>
        </w:rPr>
      </w:pPr>
      <w:r>
        <w:rPr>
          <w:rFonts w:eastAsia="仿宋_GB2312"/>
          <w:b/>
          <w:color w:val="auto"/>
          <w:szCs w:val="21"/>
          <w:highlight w:val="none"/>
        </w:rPr>
        <w:t xml:space="preserve">十、 招商银行（政采贷） </w:t>
      </w:r>
    </w:p>
    <w:p>
      <w:pPr>
        <w:ind w:firstLine="420" w:firstLineChars="200"/>
        <w:rPr>
          <w:rFonts w:eastAsia="仿宋_GB2312"/>
          <w:color w:val="auto"/>
          <w:szCs w:val="21"/>
          <w:highlight w:val="none"/>
        </w:rPr>
      </w:pPr>
      <w:r>
        <w:rPr>
          <w:rFonts w:eastAsia="仿宋_GB2312"/>
          <w:color w:val="auto"/>
          <w:szCs w:val="21"/>
          <w:highlight w:val="none"/>
        </w:rPr>
        <w:t>招商银行西安分行   联系人：任瑾；85438988</w:t>
      </w:r>
    </w:p>
    <w:p>
      <w:pPr>
        <w:rPr>
          <w:rFonts w:eastAsia="仿宋_GB2312"/>
          <w:b/>
          <w:color w:val="auto"/>
          <w:szCs w:val="21"/>
          <w:highlight w:val="none"/>
        </w:rPr>
      </w:pPr>
      <w:r>
        <w:rPr>
          <w:rFonts w:eastAsia="仿宋_GB2312"/>
          <w:b/>
          <w:color w:val="auto"/>
          <w:szCs w:val="21"/>
          <w:highlight w:val="none"/>
        </w:rPr>
        <w:t xml:space="preserve">十一、 长安银行（小微贷） </w:t>
      </w:r>
    </w:p>
    <w:p>
      <w:pPr>
        <w:ind w:firstLine="420" w:firstLineChars="200"/>
        <w:rPr>
          <w:rFonts w:eastAsia="仿宋_GB2312"/>
          <w:color w:val="auto"/>
          <w:szCs w:val="21"/>
          <w:highlight w:val="none"/>
        </w:rPr>
      </w:pPr>
      <w:r>
        <w:rPr>
          <w:rFonts w:eastAsia="仿宋_GB2312"/>
          <w:color w:val="auto"/>
          <w:szCs w:val="21"/>
          <w:highlight w:val="none"/>
        </w:rPr>
        <w:t xml:space="preserve">长安银行西安曲江新区支行 地址：西安市曲江新区雁南一路3号  </w:t>
      </w:r>
    </w:p>
    <w:p>
      <w:pPr>
        <w:ind w:firstLine="420" w:firstLineChars="200"/>
        <w:rPr>
          <w:rFonts w:eastAsia="仿宋_GB2312"/>
          <w:color w:val="auto"/>
          <w:szCs w:val="21"/>
          <w:highlight w:val="none"/>
        </w:rPr>
      </w:pPr>
      <w:r>
        <w:rPr>
          <w:rFonts w:eastAsia="仿宋_GB2312"/>
          <w:color w:val="auto"/>
          <w:szCs w:val="21"/>
          <w:highlight w:val="none"/>
        </w:rPr>
        <w:t xml:space="preserve">联系人：陈瑶 13629266833 </w:t>
      </w:r>
    </w:p>
    <w:bookmarkEnd w:id="398"/>
    <w:bookmarkEnd w:id="399"/>
    <w:p>
      <w:pPr>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十二、网商银行（合同贷）</w:t>
      </w:r>
    </w:p>
    <w:p>
      <w:pPr>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十三、中国邮政储蓄银行陕西省分行（政采贷）</w:t>
      </w:r>
    </w:p>
    <w:p>
      <w:pPr>
        <w:pStyle w:val="25"/>
        <w:tabs>
          <w:tab w:val="left" w:pos="567"/>
        </w:tabs>
        <w:rPr>
          <w:rFonts w:ascii="仿宋_GB2312" w:hAnsi="仿宋_GB2312" w:eastAsia="仿宋_GB2312" w:cs="仿宋_GB2312"/>
          <w:color w:val="auto"/>
          <w:szCs w:val="21"/>
          <w:highlight w:val="none"/>
        </w:rPr>
      </w:pPr>
    </w:p>
    <w:p>
      <w:pPr>
        <w:pStyle w:val="25"/>
        <w:tabs>
          <w:tab w:val="left" w:pos="567"/>
        </w:tabs>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310"/>
        <w:gridCol w:w="2177"/>
        <w:gridCol w:w="2829"/>
        <w:gridCol w:w="2829"/>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13892535580</w:t>
            </w:r>
          </w:p>
          <w:p>
            <w:pPr>
              <w:widowControl/>
              <w:spacing w:line="240" w:lineRule="exact"/>
              <w:jc w:val="center"/>
              <w:textAlignment w:val="top"/>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13892383911</w:t>
            </w:r>
          </w:p>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18191815559</w:t>
            </w:r>
          </w:p>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18191356300</w:t>
            </w:r>
          </w:p>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13028431555</w:t>
            </w:r>
          </w:p>
          <w:p>
            <w:pPr>
              <w:widowControl/>
              <w:spacing w:line="2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18091365182</w:t>
            </w:r>
          </w:p>
        </w:tc>
      </w:tr>
    </w:tbl>
    <w:p>
      <w:pPr>
        <w:pStyle w:val="25"/>
        <w:tabs>
          <w:tab w:val="left" w:pos="567"/>
        </w:tabs>
        <w:rPr>
          <w:rFonts w:ascii="仿宋_GB2312" w:hAnsi="仿宋_GB2312" w:eastAsia="仿宋_GB2312" w:cs="仿宋_GB2312"/>
          <w:color w:val="auto"/>
          <w:szCs w:val="21"/>
          <w:highlight w:val="none"/>
        </w:rPr>
      </w:pPr>
    </w:p>
    <w:p>
      <w:pPr>
        <w:pStyle w:val="25"/>
        <w:tabs>
          <w:tab w:val="left" w:pos="567"/>
        </w:tabs>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延安市政府采购贷款银行信息：</w:t>
      </w:r>
    </w:p>
    <w:tbl>
      <w:tblPr>
        <w:tblStyle w:val="5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2364"/>
        <w:gridCol w:w="3866"/>
        <w:gridCol w:w="86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spacing w:line="500" w:lineRule="exact"/>
              <w:jc w:val="center"/>
              <w:rPr>
                <w:rFonts w:ascii="仿宋_GB2312" w:hAnsi="仿宋_GB2312" w:eastAsia="仿宋_GB2312" w:cs="仿宋_GB2312"/>
                <w:b/>
                <w:bCs/>
                <w:color w:val="auto"/>
                <w:kern w:val="0"/>
                <w:szCs w:val="21"/>
                <w:highlight w:val="none"/>
                <w:shd w:val="clear" w:color="auto" w:fill="FFFFFF"/>
              </w:rPr>
            </w:pPr>
            <w:r>
              <w:rPr>
                <w:rFonts w:hint="eastAsia" w:ascii="仿宋_GB2312" w:hAnsi="仿宋_GB2312" w:eastAsia="仿宋_GB2312" w:cs="仿宋_GB2312"/>
                <w:b/>
                <w:bCs/>
                <w:color w:val="auto"/>
                <w:kern w:val="0"/>
                <w:szCs w:val="21"/>
                <w:highlight w:val="none"/>
                <w:shd w:val="clear" w:color="auto" w:fill="FFFFFF"/>
              </w:rPr>
              <w:t>序号</w:t>
            </w:r>
          </w:p>
        </w:tc>
        <w:tc>
          <w:tcPr>
            <w:tcW w:w="1292" w:type="pct"/>
            <w:vAlign w:val="center"/>
          </w:tcPr>
          <w:p>
            <w:pPr>
              <w:spacing w:line="500" w:lineRule="exact"/>
              <w:jc w:val="center"/>
              <w:rPr>
                <w:rFonts w:ascii="仿宋_GB2312" w:hAnsi="仿宋_GB2312" w:eastAsia="仿宋_GB2312" w:cs="仿宋_GB2312"/>
                <w:b/>
                <w:bCs/>
                <w:color w:val="auto"/>
                <w:kern w:val="0"/>
                <w:szCs w:val="21"/>
                <w:highlight w:val="none"/>
                <w:shd w:val="clear" w:color="auto" w:fill="FFFFFF"/>
              </w:rPr>
            </w:pPr>
            <w:r>
              <w:rPr>
                <w:rFonts w:hint="eastAsia" w:ascii="仿宋_GB2312" w:hAnsi="仿宋_GB2312" w:eastAsia="仿宋_GB2312" w:cs="仿宋_GB2312"/>
                <w:b/>
                <w:bCs/>
                <w:color w:val="auto"/>
                <w:kern w:val="0"/>
                <w:szCs w:val="21"/>
                <w:highlight w:val="none"/>
                <w:shd w:val="clear" w:color="auto" w:fill="FFFFFF"/>
              </w:rPr>
              <w:t>银行</w:t>
            </w:r>
          </w:p>
        </w:tc>
        <w:tc>
          <w:tcPr>
            <w:tcW w:w="2113" w:type="pct"/>
            <w:vAlign w:val="center"/>
          </w:tcPr>
          <w:p>
            <w:pPr>
              <w:spacing w:line="500" w:lineRule="exact"/>
              <w:jc w:val="center"/>
              <w:rPr>
                <w:rFonts w:ascii="仿宋_GB2312" w:hAnsi="仿宋_GB2312" w:eastAsia="仿宋_GB2312" w:cs="仿宋_GB2312"/>
                <w:b/>
                <w:bCs/>
                <w:color w:val="auto"/>
                <w:kern w:val="0"/>
                <w:szCs w:val="21"/>
                <w:highlight w:val="none"/>
                <w:shd w:val="clear" w:color="auto" w:fill="FFFFFF"/>
              </w:rPr>
            </w:pPr>
            <w:r>
              <w:rPr>
                <w:rFonts w:hint="eastAsia" w:ascii="仿宋_GB2312" w:hAnsi="仿宋_GB2312" w:eastAsia="仿宋_GB2312" w:cs="仿宋_GB2312"/>
                <w:b/>
                <w:bCs/>
                <w:color w:val="auto"/>
                <w:kern w:val="0"/>
                <w:szCs w:val="21"/>
                <w:highlight w:val="none"/>
                <w:shd w:val="clear" w:color="auto" w:fill="FFFFFF"/>
              </w:rPr>
              <w:t>地址</w:t>
            </w:r>
          </w:p>
        </w:tc>
        <w:tc>
          <w:tcPr>
            <w:tcW w:w="473" w:type="pct"/>
            <w:vAlign w:val="center"/>
          </w:tcPr>
          <w:p>
            <w:pPr>
              <w:spacing w:line="500" w:lineRule="exact"/>
              <w:jc w:val="center"/>
              <w:rPr>
                <w:rFonts w:ascii="仿宋_GB2312" w:hAnsi="仿宋_GB2312" w:eastAsia="仿宋_GB2312" w:cs="仿宋_GB2312"/>
                <w:b/>
                <w:bCs/>
                <w:color w:val="auto"/>
                <w:kern w:val="0"/>
                <w:szCs w:val="21"/>
                <w:highlight w:val="none"/>
                <w:shd w:val="clear" w:color="auto" w:fill="FFFFFF"/>
              </w:rPr>
            </w:pPr>
            <w:r>
              <w:rPr>
                <w:rFonts w:hint="eastAsia" w:ascii="仿宋_GB2312" w:hAnsi="仿宋_GB2312" w:eastAsia="仿宋_GB2312" w:cs="仿宋_GB2312"/>
                <w:b/>
                <w:bCs/>
                <w:color w:val="auto"/>
                <w:kern w:val="0"/>
                <w:szCs w:val="21"/>
                <w:highlight w:val="none"/>
                <w:shd w:val="clear" w:color="auto" w:fill="FFFFFF"/>
              </w:rPr>
              <w:t>联系人</w:t>
            </w:r>
          </w:p>
        </w:tc>
        <w:tc>
          <w:tcPr>
            <w:tcW w:w="764" w:type="pct"/>
            <w:vAlign w:val="center"/>
          </w:tcPr>
          <w:p>
            <w:pPr>
              <w:spacing w:line="500" w:lineRule="exact"/>
              <w:jc w:val="center"/>
              <w:rPr>
                <w:rFonts w:ascii="仿宋_GB2312" w:hAnsi="仿宋_GB2312" w:eastAsia="仿宋_GB2312" w:cs="仿宋_GB2312"/>
                <w:b/>
                <w:bCs/>
                <w:color w:val="auto"/>
                <w:kern w:val="0"/>
                <w:szCs w:val="21"/>
                <w:highlight w:val="none"/>
                <w:shd w:val="clear" w:color="auto" w:fill="FFFFFF"/>
              </w:rPr>
            </w:pPr>
            <w:r>
              <w:rPr>
                <w:rFonts w:hint="eastAsia" w:ascii="仿宋_GB2312" w:hAnsi="仿宋_GB2312" w:eastAsia="仿宋_GB2312" w:cs="仿宋_GB2312"/>
                <w:b/>
                <w:bCs/>
                <w:color w:val="auto"/>
                <w:kern w:val="0"/>
                <w:szCs w:val="21"/>
                <w:highlight w:val="none"/>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1</w:t>
            </w:r>
          </w:p>
        </w:tc>
        <w:tc>
          <w:tcPr>
            <w:tcW w:w="1292"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中国建设银行延安分行</w:t>
            </w:r>
          </w:p>
        </w:tc>
        <w:tc>
          <w:tcPr>
            <w:tcW w:w="2113"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延安市宝塔区中心街</w:t>
            </w:r>
          </w:p>
        </w:tc>
        <w:tc>
          <w:tcPr>
            <w:tcW w:w="473"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惠玉</w:t>
            </w:r>
          </w:p>
        </w:tc>
        <w:tc>
          <w:tcPr>
            <w:tcW w:w="764"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2</w:t>
            </w:r>
          </w:p>
        </w:tc>
        <w:tc>
          <w:tcPr>
            <w:tcW w:w="1292"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中国工商银行延安分行</w:t>
            </w:r>
          </w:p>
        </w:tc>
        <w:tc>
          <w:tcPr>
            <w:tcW w:w="2113"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延安市宝塔区师范路</w:t>
            </w:r>
          </w:p>
        </w:tc>
        <w:tc>
          <w:tcPr>
            <w:tcW w:w="473"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姬悦</w:t>
            </w:r>
          </w:p>
        </w:tc>
        <w:tc>
          <w:tcPr>
            <w:tcW w:w="764"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3</w:t>
            </w:r>
          </w:p>
        </w:tc>
        <w:tc>
          <w:tcPr>
            <w:tcW w:w="1292"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北京银行延安分行</w:t>
            </w:r>
          </w:p>
        </w:tc>
        <w:tc>
          <w:tcPr>
            <w:tcW w:w="2113"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延安市宝塔区双拥大道</w:t>
            </w:r>
          </w:p>
        </w:tc>
        <w:tc>
          <w:tcPr>
            <w:tcW w:w="473"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奥宝森</w:t>
            </w:r>
          </w:p>
        </w:tc>
        <w:tc>
          <w:tcPr>
            <w:tcW w:w="764"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4</w:t>
            </w:r>
          </w:p>
        </w:tc>
        <w:tc>
          <w:tcPr>
            <w:tcW w:w="1292"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邮储银行延安分行</w:t>
            </w:r>
          </w:p>
        </w:tc>
        <w:tc>
          <w:tcPr>
            <w:tcW w:w="2113"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延安市宝塔区枣园路志丹大厦</w:t>
            </w:r>
          </w:p>
        </w:tc>
        <w:tc>
          <w:tcPr>
            <w:tcW w:w="473"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杨慧花</w:t>
            </w:r>
          </w:p>
        </w:tc>
        <w:tc>
          <w:tcPr>
            <w:tcW w:w="764"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5</w:t>
            </w:r>
          </w:p>
        </w:tc>
        <w:tc>
          <w:tcPr>
            <w:tcW w:w="1292"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光大银行延安分行</w:t>
            </w:r>
          </w:p>
        </w:tc>
        <w:tc>
          <w:tcPr>
            <w:tcW w:w="2113"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延安市宝塔区卷烟厂东信时代一、二层</w:t>
            </w:r>
          </w:p>
        </w:tc>
        <w:tc>
          <w:tcPr>
            <w:tcW w:w="473"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汪昊田</w:t>
            </w:r>
          </w:p>
        </w:tc>
        <w:tc>
          <w:tcPr>
            <w:tcW w:w="764" w:type="pct"/>
            <w:vAlign w:val="center"/>
          </w:tcPr>
          <w:p>
            <w:pPr>
              <w:spacing w:line="500" w:lineRule="exact"/>
              <w:jc w:val="center"/>
              <w:rPr>
                <w:rFonts w:ascii="仿宋_GB2312" w:hAnsi="仿宋_GB2312" w:eastAsia="仿宋_GB2312" w:cs="仿宋_GB2312"/>
                <w:color w:val="auto"/>
                <w:kern w:val="0"/>
                <w:szCs w:val="21"/>
                <w:highlight w:val="none"/>
                <w:shd w:val="clear" w:color="auto" w:fill="FFFFFF"/>
              </w:rPr>
            </w:pPr>
            <w:r>
              <w:rPr>
                <w:rFonts w:hint="eastAsia" w:ascii="仿宋_GB2312" w:hAnsi="仿宋_GB2312" w:eastAsia="仿宋_GB2312" w:cs="仿宋_GB2312"/>
                <w:color w:val="auto"/>
                <w:kern w:val="0"/>
                <w:szCs w:val="21"/>
                <w:highlight w:val="none"/>
                <w:shd w:val="clear" w:color="auto" w:fill="FFFFFF"/>
              </w:rPr>
              <w:t>13509115500</w:t>
            </w:r>
          </w:p>
        </w:tc>
      </w:tr>
    </w:tbl>
    <w:p>
      <w:pPr>
        <w:tabs>
          <w:tab w:val="left" w:pos="588"/>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br w:type="page"/>
      </w:r>
    </w:p>
    <w:bookmarkEnd w:id="89"/>
    <w:bookmarkEnd w:id="90"/>
    <w:bookmarkEnd w:id="91"/>
    <w:bookmarkEnd w:id="92"/>
    <w:p>
      <w:pPr>
        <w:pStyle w:val="46"/>
        <w:spacing w:line="360" w:lineRule="auto"/>
        <w:rPr>
          <w:rStyle w:val="204"/>
          <w:rFonts w:ascii="仿宋" w:hAnsi="仿宋" w:eastAsia="仿宋" w:cs="仿宋"/>
          <w:color w:val="auto"/>
          <w:sz w:val="36"/>
          <w:szCs w:val="36"/>
          <w:highlight w:val="none"/>
        </w:rPr>
      </w:pPr>
      <w:bookmarkStart w:id="400" w:name="_Toc14219"/>
      <w:bookmarkStart w:id="401" w:name="_Toc17469"/>
      <w:bookmarkStart w:id="402" w:name="_Toc58504447"/>
      <w:r>
        <w:rPr>
          <w:rStyle w:val="204"/>
          <w:rFonts w:hint="eastAsia" w:ascii="仿宋" w:hAnsi="仿宋" w:eastAsia="仿宋" w:cs="仿宋"/>
          <w:color w:val="auto"/>
          <w:sz w:val="36"/>
          <w:szCs w:val="36"/>
          <w:highlight w:val="none"/>
        </w:rPr>
        <w:t>第三章  评审办法和标准</w:t>
      </w:r>
      <w:bookmarkEnd w:id="400"/>
    </w:p>
    <w:p>
      <w:pPr>
        <w:pStyle w:val="81"/>
        <w:spacing w:before="24" w:after="24"/>
        <w:rPr>
          <w:rFonts w:eastAsia="仿宋_GB2312"/>
          <w:color w:val="auto"/>
          <w:sz w:val="28"/>
          <w:szCs w:val="28"/>
          <w:highlight w:val="none"/>
        </w:rPr>
      </w:pPr>
      <w:bookmarkStart w:id="403" w:name="_Toc21663"/>
      <w:bookmarkStart w:id="404" w:name="_Toc11867"/>
      <w:bookmarkStart w:id="405" w:name="_Toc7005040"/>
      <w:r>
        <w:rPr>
          <w:rFonts w:eastAsia="仿宋_GB2312"/>
          <w:color w:val="auto"/>
          <w:sz w:val="28"/>
          <w:szCs w:val="28"/>
          <w:highlight w:val="none"/>
        </w:rPr>
        <w:t>1.</w:t>
      </w:r>
      <w:r>
        <w:rPr>
          <w:rFonts w:hint="eastAsia" w:eastAsia="仿宋_GB2312"/>
          <w:color w:val="auto"/>
          <w:sz w:val="28"/>
          <w:szCs w:val="28"/>
          <w:highlight w:val="none"/>
        </w:rPr>
        <w:t xml:space="preserve"> </w:t>
      </w:r>
      <w:r>
        <w:rPr>
          <w:rFonts w:eastAsia="仿宋_GB2312"/>
          <w:color w:val="auto"/>
          <w:sz w:val="28"/>
          <w:szCs w:val="28"/>
          <w:highlight w:val="none"/>
        </w:rPr>
        <w:t>评审方法</w:t>
      </w:r>
      <w:bookmarkEnd w:id="403"/>
      <w:bookmarkEnd w:id="404"/>
      <w:bookmarkEnd w:id="405"/>
    </w:p>
    <w:p>
      <w:pPr>
        <w:pStyle w:val="25"/>
        <w:ind w:firstLine="480" w:firstLineChars="200"/>
        <w:rPr>
          <w:rFonts w:ascii="Times New Roman" w:hAnsi="Times New Roman" w:eastAsia="仿宋_GB2312"/>
          <w:color w:val="auto"/>
          <w:sz w:val="24"/>
          <w:highlight w:val="none"/>
        </w:rPr>
      </w:pPr>
      <w:r>
        <w:rPr>
          <w:rFonts w:ascii="Times New Roman" w:hAnsi="Times New Roman" w:eastAsia="仿宋_GB2312"/>
          <w:color w:val="auto"/>
          <w:sz w:val="24"/>
          <w:highlight w:val="none"/>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81"/>
        <w:spacing w:before="24" w:after="24"/>
        <w:rPr>
          <w:rFonts w:eastAsia="仿宋_GB2312"/>
          <w:color w:val="auto"/>
          <w:sz w:val="28"/>
          <w:szCs w:val="28"/>
          <w:highlight w:val="none"/>
        </w:rPr>
      </w:pPr>
      <w:bookmarkStart w:id="406" w:name="_Toc21031"/>
      <w:bookmarkStart w:id="407" w:name="_Toc19261"/>
      <w:bookmarkStart w:id="408" w:name="_Toc7005041"/>
      <w:r>
        <w:rPr>
          <w:rFonts w:eastAsia="仿宋_GB2312"/>
          <w:color w:val="auto"/>
          <w:sz w:val="28"/>
          <w:szCs w:val="28"/>
          <w:highlight w:val="none"/>
        </w:rPr>
        <w:t>2.</w:t>
      </w:r>
      <w:r>
        <w:rPr>
          <w:rFonts w:hint="eastAsia" w:eastAsia="仿宋_GB2312"/>
          <w:color w:val="auto"/>
          <w:sz w:val="28"/>
          <w:szCs w:val="28"/>
          <w:highlight w:val="none"/>
        </w:rPr>
        <w:t xml:space="preserve"> </w:t>
      </w:r>
      <w:r>
        <w:rPr>
          <w:rFonts w:eastAsia="仿宋_GB2312"/>
          <w:color w:val="auto"/>
          <w:sz w:val="28"/>
          <w:szCs w:val="28"/>
          <w:highlight w:val="none"/>
        </w:rPr>
        <w:t>评审标准</w:t>
      </w:r>
      <w:bookmarkEnd w:id="406"/>
      <w:bookmarkEnd w:id="407"/>
      <w:bookmarkEnd w:id="408"/>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2.1 资格审查和符合性评审标准：见附表一和附表二。</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2.2 分值构成：总分100分，其中</w:t>
      </w:r>
    </w:p>
    <w:p>
      <w:pPr>
        <w:widowControl w:val="0"/>
        <w:spacing w:line="360" w:lineRule="auto"/>
        <w:ind w:firstLine="480" w:firstLineChars="200"/>
        <w:jc w:val="both"/>
        <w:rPr>
          <w:rFonts w:ascii="Times New Roman" w:hAnsi="Times New Roman" w:eastAsia="仿宋_GB2312" w:cs="Times New Roman"/>
          <w:color w:val="auto"/>
          <w:kern w:val="2"/>
          <w:sz w:val="24"/>
          <w:szCs w:val="24"/>
          <w:highlight w:val="none"/>
          <w:lang w:val="en-US" w:eastAsia="zh-CN" w:bidi="ar-SA"/>
        </w:rPr>
      </w:pPr>
      <w:r>
        <w:rPr>
          <w:rFonts w:ascii="Times New Roman" w:hAnsi="Times New Roman" w:eastAsia="仿宋_GB2312" w:cs="Times New Roman"/>
          <w:color w:val="auto"/>
          <w:kern w:val="2"/>
          <w:sz w:val="24"/>
          <w:szCs w:val="24"/>
          <w:highlight w:val="none"/>
          <w:lang w:val="en-US" w:eastAsia="zh-CN" w:bidi="ar-SA"/>
        </w:rPr>
        <w:t xml:space="preserve">商务部分分值： </w:t>
      </w:r>
      <w:r>
        <w:rPr>
          <w:rFonts w:hint="eastAsia" w:eastAsia="仿宋_GB2312" w:cs="Times New Roman"/>
          <w:color w:val="auto"/>
          <w:kern w:val="2"/>
          <w:sz w:val="24"/>
          <w:szCs w:val="24"/>
          <w:highlight w:val="none"/>
          <w:lang w:val="en-US" w:eastAsia="zh-CN" w:bidi="ar-SA"/>
        </w:rPr>
        <w:t>10</w:t>
      </w:r>
      <w:r>
        <w:rPr>
          <w:rFonts w:ascii="Times New Roman" w:hAnsi="Times New Roman" w:eastAsia="仿宋_GB2312" w:cs="Times New Roman"/>
          <w:color w:val="auto"/>
          <w:kern w:val="2"/>
          <w:sz w:val="24"/>
          <w:szCs w:val="24"/>
          <w:highlight w:val="none"/>
          <w:lang w:val="en-US" w:eastAsia="zh-CN" w:bidi="ar-SA"/>
        </w:rPr>
        <w:t xml:space="preserve">分；  </w:t>
      </w:r>
    </w:p>
    <w:p>
      <w:pPr>
        <w:widowControl w:val="0"/>
        <w:spacing w:line="360" w:lineRule="auto"/>
        <w:ind w:firstLine="480" w:firstLineChars="200"/>
        <w:jc w:val="both"/>
        <w:rPr>
          <w:rFonts w:ascii="Times New Roman" w:hAnsi="Times New Roman" w:eastAsia="仿宋_GB2312" w:cs="Times New Roman"/>
          <w:color w:val="auto"/>
          <w:kern w:val="2"/>
          <w:sz w:val="24"/>
          <w:szCs w:val="24"/>
          <w:highlight w:val="none"/>
          <w:lang w:val="en-US" w:eastAsia="zh-CN" w:bidi="ar-SA"/>
        </w:rPr>
      </w:pPr>
      <w:r>
        <w:rPr>
          <w:rFonts w:ascii="Times New Roman" w:hAnsi="Times New Roman" w:eastAsia="仿宋_GB2312" w:cs="Times New Roman"/>
          <w:color w:val="auto"/>
          <w:kern w:val="2"/>
          <w:sz w:val="24"/>
          <w:szCs w:val="24"/>
          <w:highlight w:val="none"/>
          <w:lang w:val="en-US" w:eastAsia="zh-CN" w:bidi="ar-SA"/>
        </w:rPr>
        <w:t xml:space="preserve">技术部分分值： </w:t>
      </w:r>
      <w:r>
        <w:rPr>
          <w:rFonts w:hint="eastAsia" w:eastAsia="仿宋_GB2312" w:cs="Times New Roman"/>
          <w:color w:val="auto"/>
          <w:kern w:val="2"/>
          <w:sz w:val="24"/>
          <w:szCs w:val="24"/>
          <w:highlight w:val="none"/>
          <w:lang w:val="en-US" w:eastAsia="zh-CN" w:bidi="ar-SA"/>
        </w:rPr>
        <w:t>80</w:t>
      </w:r>
      <w:r>
        <w:rPr>
          <w:rFonts w:ascii="Times New Roman" w:hAnsi="Times New Roman" w:eastAsia="仿宋_GB2312" w:cs="Times New Roman"/>
          <w:color w:val="auto"/>
          <w:kern w:val="2"/>
          <w:sz w:val="24"/>
          <w:szCs w:val="24"/>
          <w:highlight w:val="none"/>
          <w:lang w:val="en-US" w:eastAsia="zh-CN" w:bidi="ar-SA"/>
        </w:rPr>
        <w:t xml:space="preserve">分；  </w:t>
      </w:r>
    </w:p>
    <w:p>
      <w:pPr>
        <w:widowControl w:val="0"/>
        <w:spacing w:line="360" w:lineRule="auto"/>
        <w:ind w:firstLine="480" w:firstLineChars="200"/>
        <w:jc w:val="both"/>
        <w:rPr>
          <w:rFonts w:ascii="Times New Roman" w:hAnsi="Times New Roman" w:eastAsia="仿宋_GB2312"/>
          <w:color w:val="auto"/>
          <w:sz w:val="24"/>
          <w:highlight w:val="none"/>
        </w:rPr>
      </w:pPr>
      <w:r>
        <w:rPr>
          <w:rFonts w:ascii="Times New Roman" w:hAnsi="Times New Roman" w:eastAsia="仿宋_GB2312" w:cs="Times New Roman"/>
          <w:color w:val="auto"/>
          <w:kern w:val="2"/>
          <w:sz w:val="24"/>
          <w:szCs w:val="24"/>
          <w:highlight w:val="none"/>
          <w:lang w:val="en-US" w:eastAsia="zh-CN" w:bidi="ar-SA"/>
        </w:rPr>
        <w:t xml:space="preserve">报价部分分值： </w:t>
      </w:r>
      <w:r>
        <w:rPr>
          <w:rFonts w:hint="eastAsia" w:ascii="Times New Roman" w:hAnsi="Times New Roman" w:eastAsia="仿宋_GB2312" w:cs="Times New Roman"/>
          <w:color w:val="auto"/>
          <w:kern w:val="2"/>
          <w:sz w:val="24"/>
          <w:szCs w:val="24"/>
          <w:highlight w:val="none"/>
          <w:lang w:val="en-US" w:eastAsia="zh-CN" w:bidi="ar-SA"/>
        </w:rPr>
        <w:t>10</w:t>
      </w:r>
      <w:r>
        <w:rPr>
          <w:rFonts w:ascii="Times New Roman" w:hAnsi="Times New Roman" w:eastAsia="仿宋_GB2312" w:cs="Times New Roman"/>
          <w:color w:val="auto"/>
          <w:kern w:val="2"/>
          <w:sz w:val="24"/>
          <w:szCs w:val="24"/>
          <w:highlight w:val="none"/>
          <w:lang w:val="en-US" w:eastAsia="zh-CN" w:bidi="ar-SA"/>
        </w:rPr>
        <w:t>分。</w:t>
      </w:r>
    </w:p>
    <w:p>
      <w:pPr>
        <w:pStyle w:val="25"/>
        <w:rPr>
          <w:rFonts w:ascii="Times New Roman" w:hAnsi="Times New Roman" w:eastAsia="仿宋_GB2312"/>
          <w:color w:val="auto"/>
          <w:sz w:val="24"/>
          <w:highlight w:val="none"/>
        </w:rPr>
      </w:pPr>
      <w:bookmarkStart w:id="409" w:name="_Ref426362114"/>
      <w:r>
        <w:rPr>
          <w:rFonts w:ascii="Times New Roman" w:hAnsi="Times New Roman" w:eastAsia="仿宋_GB2312"/>
          <w:color w:val="auto"/>
          <w:sz w:val="24"/>
          <w:highlight w:val="none"/>
        </w:rPr>
        <w:t>2.3 商务和技术评审标准</w:t>
      </w:r>
      <w:bookmarkEnd w:id="409"/>
    </w:p>
    <w:p>
      <w:pPr>
        <w:pStyle w:val="25"/>
        <w:rPr>
          <w:rFonts w:ascii="Times New Roman" w:hAnsi="Times New Roman" w:eastAsia="仿宋_GB2312"/>
          <w:color w:val="auto"/>
          <w:sz w:val="24"/>
          <w:highlight w:val="none"/>
        </w:rPr>
      </w:pPr>
      <w:bookmarkStart w:id="410" w:name="_Ref426362140"/>
      <w:r>
        <w:rPr>
          <w:rFonts w:ascii="Times New Roman" w:hAnsi="Times New Roman" w:eastAsia="仿宋_GB2312"/>
          <w:color w:val="auto"/>
          <w:sz w:val="24"/>
          <w:highlight w:val="none"/>
        </w:rPr>
        <w:t>2.3.1商务部分评分标准：见附表</w:t>
      </w:r>
      <w:bookmarkEnd w:id="410"/>
      <w:r>
        <w:rPr>
          <w:rFonts w:ascii="Times New Roman" w:hAnsi="Times New Roman" w:eastAsia="仿宋_GB2312"/>
          <w:color w:val="auto"/>
          <w:sz w:val="24"/>
          <w:highlight w:val="none"/>
        </w:rPr>
        <w:t>三</w:t>
      </w:r>
      <w:r>
        <w:rPr>
          <w:rFonts w:hint="eastAsia" w:ascii="Times New Roman" w:hAnsi="Times New Roman" w:eastAsia="仿宋_GB2312"/>
          <w:color w:val="auto"/>
          <w:sz w:val="24"/>
          <w:highlight w:val="none"/>
        </w:rPr>
        <w:t>。</w:t>
      </w:r>
    </w:p>
    <w:p>
      <w:pPr>
        <w:pStyle w:val="25"/>
        <w:rPr>
          <w:rFonts w:ascii="Times New Roman" w:hAnsi="Times New Roman" w:eastAsia="仿宋_GB2312"/>
          <w:color w:val="auto"/>
          <w:sz w:val="24"/>
          <w:highlight w:val="none"/>
        </w:rPr>
      </w:pPr>
      <w:bookmarkStart w:id="411" w:name="_Ref426362158"/>
      <w:r>
        <w:rPr>
          <w:rFonts w:ascii="Times New Roman" w:hAnsi="Times New Roman" w:eastAsia="仿宋_GB2312"/>
          <w:color w:val="auto"/>
          <w:sz w:val="24"/>
          <w:highlight w:val="none"/>
        </w:rPr>
        <w:t>2.3.2技术部分评分标准：见附表</w:t>
      </w:r>
      <w:bookmarkEnd w:id="411"/>
      <w:r>
        <w:rPr>
          <w:rFonts w:hint="eastAsia" w:ascii="Times New Roman" w:hAnsi="Times New Roman" w:eastAsia="仿宋_GB2312"/>
          <w:color w:val="auto"/>
          <w:sz w:val="24"/>
          <w:highlight w:val="none"/>
        </w:rPr>
        <w:t>三。</w:t>
      </w:r>
    </w:p>
    <w:p>
      <w:pPr>
        <w:pStyle w:val="25"/>
        <w:rPr>
          <w:rFonts w:ascii="Times New Roman" w:hAnsi="Times New Roman" w:eastAsia="仿宋_GB2312"/>
          <w:color w:val="auto"/>
          <w:sz w:val="24"/>
          <w:highlight w:val="none"/>
        </w:rPr>
      </w:pPr>
      <w:bookmarkStart w:id="412" w:name="_Ref426362176"/>
      <w:r>
        <w:rPr>
          <w:rFonts w:ascii="Times New Roman" w:hAnsi="Times New Roman" w:eastAsia="仿宋_GB2312"/>
          <w:color w:val="auto"/>
          <w:sz w:val="24"/>
          <w:highlight w:val="none"/>
        </w:rPr>
        <w:t>2.3.3报价评分标准：</w:t>
      </w:r>
      <w:bookmarkEnd w:id="412"/>
      <w:r>
        <w:rPr>
          <w:rFonts w:ascii="Times New Roman" w:hAnsi="Times New Roman" w:eastAsia="仿宋_GB2312"/>
          <w:color w:val="auto"/>
          <w:sz w:val="24"/>
          <w:highlight w:val="none"/>
        </w:rPr>
        <w:t>见附表</w:t>
      </w:r>
      <w:r>
        <w:rPr>
          <w:rFonts w:hint="eastAsia" w:ascii="Times New Roman" w:hAnsi="Times New Roman" w:eastAsia="仿宋_GB2312"/>
          <w:color w:val="auto"/>
          <w:sz w:val="24"/>
          <w:highlight w:val="none"/>
        </w:rPr>
        <w:t>三。</w:t>
      </w:r>
    </w:p>
    <w:p>
      <w:pPr>
        <w:pStyle w:val="25"/>
        <w:ind w:firstLine="480" w:firstLineChars="200"/>
        <w:rPr>
          <w:rFonts w:ascii="Times New Roman" w:hAnsi="Times New Roman" w:eastAsia="仿宋_GB2312"/>
          <w:color w:val="auto"/>
          <w:sz w:val="24"/>
          <w:highlight w:val="none"/>
        </w:rPr>
      </w:pPr>
      <w:r>
        <w:rPr>
          <w:rFonts w:ascii="Times New Roman" w:hAnsi="Times New Roman" w:eastAsia="仿宋_GB2312"/>
          <w:color w:val="auto"/>
          <w:sz w:val="24"/>
          <w:highlight w:val="none"/>
        </w:rPr>
        <w:t>（1）根据《关于进一步加大政府采购支持中小企业力度的通知》（财库〔2022〕19号）、《政府采购促进中小企业发展管理办法》（财库〔2020〕46号）调整供应商参与评审的价格。对小型和微型企业产品的价格给予</w:t>
      </w:r>
      <w:r>
        <w:rPr>
          <w:rFonts w:ascii="Times New Roman" w:hAnsi="Times New Roman" w:eastAsia="仿宋_GB2312"/>
          <w:i/>
          <w:iCs/>
          <w:color w:val="auto"/>
          <w:highlight w:val="none"/>
          <w:u w:val="single"/>
        </w:rPr>
        <w:t>10%</w:t>
      </w:r>
      <w:r>
        <w:rPr>
          <w:rFonts w:ascii="Times New Roman" w:hAnsi="Times New Roman" w:eastAsia="仿宋_GB2312"/>
          <w:color w:val="auto"/>
          <w:sz w:val="24"/>
          <w:highlight w:val="none"/>
        </w:rPr>
        <w:t>的扣除。如允许与小微企业组成联合体或向其分包的，且合同额占总金额30%以上的，给予</w:t>
      </w:r>
      <w:r>
        <w:rPr>
          <w:rFonts w:ascii="Times New Roman" w:hAnsi="Times New Roman" w:eastAsia="仿宋_GB2312"/>
          <w:i/>
          <w:iCs/>
          <w:color w:val="auto"/>
          <w:highlight w:val="none"/>
          <w:u w:val="single"/>
        </w:rPr>
        <w:t>4%</w:t>
      </w:r>
      <w:r>
        <w:rPr>
          <w:rFonts w:ascii="Times New Roman" w:hAnsi="Times New Roman" w:eastAsia="仿宋_GB2312"/>
          <w:color w:val="auto"/>
          <w:sz w:val="24"/>
          <w:highlight w:val="none"/>
        </w:rPr>
        <w:t>的扣除。</w:t>
      </w:r>
      <w:r>
        <w:rPr>
          <w:rFonts w:hint="eastAsia" w:ascii="Times New Roman" w:hAnsi="Times New Roman" w:eastAsia="仿宋_GB2312"/>
          <w:color w:val="auto"/>
          <w:sz w:val="24"/>
          <w:highlight w:val="none"/>
        </w:rPr>
        <w:t>如项目专门面向中小企业采购，则不再进行价格扣除。</w:t>
      </w:r>
    </w:p>
    <w:p>
      <w:pPr>
        <w:pStyle w:val="25"/>
        <w:ind w:firstLine="480" w:firstLineChars="200"/>
        <w:rPr>
          <w:rFonts w:ascii="Times New Roman" w:hAnsi="Times New Roman" w:eastAsia="仿宋_GB2312"/>
          <w:color w:val="auto"/>
          <w:sz w:val="24"/>
          <w:highlight w:val="none"/>
        </w:rPr>
      </w:pPr>
      <w:r>
        <w:rPr>
          <w:rFonts w:ascii="Times New Roman" w:hAnsi="Times New Roman" w:eastAsia="仿宋_GB2312"/>
          <w:color w:val="auto"/>
          <w:sz w:val="24"/>
          <w:highlight w:val="none"/>
        </w:rPr>
        <w:t>注：监狱企业、残疾人福利性单位视同小微企业；残疾人福利性单位属于小型、微型企业的，不重复享受政策。</w:t>
      </w:r>
    </w:p>
    <w:p>
      <w:pPr>
        <w:pStyle w:val="25"/>
        <w:ind w:firstLine="480" w:firstLineChars="200"/>
        <w:rPr>
          <w:rFonts w:ascii="Times New Roman" w:hAnsi="Times New Roman" w:eastAsia="仿宋_GB2312"/>
          <w:color w:val="auto"/>
          <w:sz w:val="24"/>
          <w:highlight w:val="none"/>
        </w:rPr>
      </w:pPr>
      <w:r>
        <w:rPr>
          <w:rFonts w:ascii="Times New Roman" w:hAnsi="Times New Roman" w:eastAsia="仿宋_GB2312"/>
          <w:color w:val="auto"/>
          <w:sz w:val="24"/>
          <w:highlight w:val="none"/>
        </w:rPr>
        <w:t>（2）评审基准价。有效响应文件中的最后报价并按本款（1）和（2）进行调整的最低报价为评审基准价。</w:t>
      </w:r>
    </w:p>
    <w:p>
      <w:pPr>
        <w:pStyle w:val="25"/>
        <w:ind w:firstLine="480" w:firstLineChars="200"/>
        <w:rPr>
          <w:rFonts w:ascii="Times New Roman" w:hAnsi="Times New Roman" w:eastAsia="仿宋_GB2312"/>
          <w:color w:val="auto"/>
          <w:sz w:val="24"/>
          <w:highlight w:val="none"/>
        </w:rPr>
      </w:pPr>
      <w:r>
        <w:rPr>
          <w:rFonts w:ascii="Times New Roman" w:hAnsi="Times New Roman" w:eastAsia="仿宋_GB2312"/>
          <w:color w:val="auto"/>
          <w:sz w:val="24"/>
          <w:highlight w:val="none"/>
        </w:rPr>
        <w:t>（3）供应商报价（按本款（1）和（2）进行调整后价格）得分=</w:t>
      </w:r>
      <w:r>
        <w:rPr>
          <w:rFonts w:hint="eastAsia" w:ascii="Times New Roman" w:hAnsi="Times New Roman" w:eastAsia="仿宋_GB2312"/>
          <w:color w:val="auto"/>
          <w:sz w:val="24"/>
          <w:highlight w:val="none"/>
        </w:rPr>
        <w:t>（</w:t>
      </w:r>
      <w:r>
        <w:rPr>
          <w:rFonts w:ascii="Times New Roman" w:hAnsi="Times New Roman" w:eastAsia="仿宋_GB2312"/>
          <w:color w:val="auto"/>
          <w:sz w:val="24"/>
          <w:highlight w:val="none"/>
        </w:rPr>
        <w:t>评审基准价／最后报价</w:t>
      </w:r>
      <w:r>
        <w:rPr>
          <w:rFonts w:hint="eastAsia" w:ascii="Times New Roman" w:hAnsi="Times New Roman" w:eastAsia="仿宋_GB2312"/>
          <w:color w:val="auto"/>
          <w:sz w:val="24"/>
          <w:highlight w:val="none"/>
        </w:rPr>
        <w:t>）</w:t>
      </w:r>
      <w:r>
        <w:rPr>
          <w:rFonts w:ascii="Times New Roman" w:hAnsi="Times New Roman" w:eastAsia="仿宋_GB2312"/>
          <w:color w:val="auto"/>
          <w:sz w:val="24"/>
          <w:highlight w:val="none"/>
        </w:rPr>
        <w:t>×价格分满分分值</w:t>
      </w:r>
    </w:p>
    <w:p>
      <w:pPr>
        <w:tabs>
          <w:tab w:val="left" w:pos="588"/>
        </w:tabs>
        <w:spacing w:line="360" w:lineRule="auto"/>
        <w:rPr>
          <w:rFonts w:eastAsia="仿宋_GB2312"/>
          <w:color w:val="auto"/>
          <w:sz w:val="24"/>
          <w:highlight w:val="none"/>
        </w:rPr>
      </w:pPr>
      <w:r>
        <w:rPr>
          <w:rFonts w:eastAsia="仿宋_GB2312"/>
          <w:color w:val="auto"/>
          <w:sz w:val="24"/>
          <w:highlight w:val="none"/>
        </w:rPr>
        <w:t>2.3.4 响应文件出现下列情况之一者，磋商小组在评审过程中按以下原则修正：</w:t>
      </w:r>
    </w:p>
    <w:p>
      <w:pPr>
        <w:tabs>
          <w:tab w:val="left" w:pos="588"/>
        </w:tabs>
        <w:spacing w:line="360" w:lineRule="auto"/>
        <w:ind w:firstLine="480" w:firstLineChars="200"/>
        <w:rPr>
          <w:rFonts w:eastAsia="仿宋_GB2312"/>
          <w:color w:val="auto"/>
          <w:sz w:val="24"/>
          <w:highlight w:val="none"/>
        </w:rPr>
      </w:pPr>
      <w:r>
        <w:rPr>
          <w:rFonts w:eastAsia="仿宋_GB2312"/>
          <w:color w:val="auto"/>
          <w:sz w:val="24"/>
          <w:highlight w:val="none"/>
        </w:rPr>
        <w:t>（1）大写金额与小写金额不一致的，以大写金额为准；</w:t>
      </w:r>
    </w:p>
    <w:p>
      <w:pPr>
        <w:tabs>
          <w:tab w:val="left" w:pos="588"/>
        </w:tabs>
        <w:spacing w:line="360" w:lineRule="auto"/>
        <w:ind w:firstLine="600" w:firstLineChars="250"/>
        <w:rPr>
          <w:rFonts w:eastAsia="仿宋_GB2312"/>
          <w:color w:val="auto"/>
          <w:sz w:val="24"/>
          <w:highlight w:val="none"/>
        </w:rPr>
      </w:pPr>
      <w:r>
        <w:rPr>
          <w:rFonts w:eastAsia="仿宋_GB2312"/>
          <w:color w:val="auto"/>
          <w:sz w:val="24"/>
          <w:highlight w:val="none"/>
        </w:rPr>
        <w:t>（2）总价金额与按单价汇总金额不一致的，以单价金额计算结果为准；</w:t>
      </w:r>
    </w:p>
    <w:p>
      <w:pPr>
        <w:tabs>
          <w:tab w:val="left" w:pos="588"/>
        </w:tabs>
        <w:spacing w:line="360" w:lineRule="auto"/>
        <w:ind w:firstLine="600" w:firstLineChars="250"/>
        <w:rPr>
          <w:rFonts w:eastAsia="仿宋_GB2312"/>
          <w:color w:val="auto"/>
          <w:sz w:val="24"/>
          <w:highlight w:val="none"/>
        </w:rPr>
      </w:pPr>
      <w:r>
        <w:rPr>
          <w:rFonts w:eastAsia="仿宋_GB2312"/>
          <w:color w:val="auto"/>
          <w:sz w:val="24"/>
          <w:highlight w:val="none"/>
        </w:rPr>
        <w:t>（3）单价金额小数点有明显错位的，应以总价为准，并修改单价；</w:t>
      </w:r>
    </w:p>
    <w:p>
      <w:pPr>
        <w:tabs>
          <w:tab w:val="left" w:pos="588"/>
        </w:tabs>
        <w:spacing w:line="360" w:lineRule="auto"/>
        <w:ind w:firstLine="600" w:firstLineChars="250"/>
        <w:rPr>
          <w:rFonts w:eastAsia="仿宋_GB2312"/>
          <w:color w:val="auto"/>
          <w:sz w:val="24"/>
          <w:highlight w:val="none"/>
        </w:rPr>
      </w:pPr>
      <w:r>
        <w:rPr>
          <w:rFonts w:eastAsia="仿宋_GB2312"/>
          <w:color w:val="auto"/>
          <w:sz w:val="24"/>
          <w:highlight w:val="none"/>
        </w:rPr>
        <w:t>（4）对不同文字文本响应文件的解释发生异议的，以中文文本为准；</w:t>
      </w:r>
    </w:p>
    <w:p>
      <w:pPr>
        <w:tabs>
          <w:tab w:val="left" w:pos="588"/>
        </w:tabs>
        <w:spacing w:line="360" w:lineRule="auto"/>
        <w:ind w:firstLine="600" w:firstLineChars="250"/>
        <w:rPr>
          <w:rFonts w:eastAsia="仿宋_GB2312"/>
          <w:color w:val="auto"/>
          <w:sz w:val="24"/>
          <w:highlight w:val="none"/>
        </w:rPr>
      </w:pPr>
      <w:r>
        <w:rPr>
          <w:rFonts w:eastAsia="仿宋_GB2312"/>
          <w:color w:val="auto"/>
          <w:sz w:val="24"/>
          <w:highlight w:val="none"/>
        </w:rPr>
        <w:t>（5）文字与图表不一致的，以文字为准；</w:t>
      </w:r>
    </w:p>
    <w:p>
      <w:pPr>
        <w:tabs>
          <w:tab w:val="left" w:pos="588"/>
        </w:tabs>
        <w:spacing w:line="360" w:lineRule="auto"/>
        <w:ind w:firstLine="600" w:firstLineChars="250"/>
        <w:rPr>
          <w:rFonts w:eastAsia="仿宋_GB2312"/>
          <w:color w:val="auto"/>
          <w:sz w:val="24"/>
          <w:highlight w:val="none"/>
        </w:rPr>
      </w:pPr>
      <w:r>
        <w:rPr>
          <w:rFonts w:eastAsia="仿宋_GB2312"/>
          <w:color w:val="auto"/>
          <w:sz w:val="24"/>
          <w:highlight w:val="none"/>
        </w:rPr>
        <w:t>（6）正本与副本不一致的，以正本为准；</w:t>
      </w:r>
    </w:p>
    <w:p>
      <w:pPr>
        <w:tabs>
          <w:tab w:val="left" w:pos="588"/>
        </w:tabs>
        <w:spacing w:line="360" w:lineRule="auto"/>
        <w:ind w:firstLine="600" w:firstLineChars="250"/>
        <w:rPr>
          <w:rFonts w:eastAsia="仿宋_GB2312"/>
          <w:color w:val="auto"/>
          <w:sz w:val="24"/>
          <w:highlight w:val="none"/>
        </w:rPr>
      </w:pPr>
      <w:r>
        <w:rPr>
          <w:rFonts w:eastAsia="仿宋_GB2312"/>
          <w:color w:val="auto"/>
          <w:sz w:val="24"/>
          <w:highlight w:val="none"/>
        </w:rPr>
        <w:t>（7）响应文件的文字叙述与制造厂商的产品样本/检测报告不符时，以产品样本/检测报告为准。</w:t>
      </w:r>
    </w:p>
    <w:p>
      <w:pPr>
        <w:pStyle w:val="81"/>
        <w:spacing w:before="24" w:after="24"/>
        <w:rPr>
          <w:rFonts w:eastAsia="仿宋_GB2312"/>
          <w:color w:val="auto"/>
          <w:sz w:val="28"/>
          <w:szCs w:val="28"/>
          <w:highlight w:val="none"/>
        </w:rPr>
      </w:pPr>
      <w:bookmarkStart w:id="413" w:name="_Toc7005042"/>
      <w:bookmarkStart w:id="414" w:name="_Toc1067"/>
      <w:bookmarkStart w:id="415" w:name="_Toc464"/>
      <w:r>
        <w:rPr>
          <w:rFonts w:eastAsia="仿宋_GB2312"/>
          <w:color w:val="auto"/>
          <w:sz w:val="28"/>
          <w:szCs w:val="28"/>
          <w:highlight w:val="none"/>
        </w:rPr>
        <w:t>3.</w:t>
      </w:r>
      <w:r>
        <w:rPr>
          <w:rFonts w:hint="eastAsia" w:eastAsia="仿宋_GB2312"/>
          <w:color w:val="auto"/>
          <w:sz w:val="28"/>
          <w:szCs w:val="28"/>
          <w:highlight w:val="none"/>
        </w:rPr>
        <w:t xml:space="preserve"> </w:t>
      </w:r>
      <w:r>
        <w:rPr>
          <w:rFonts w:eastAsia="仿宋_GB2312"/>
          <w:color w:val="auto"/>
          <w:sz w:val="28"/>
          <w:szCs w:val="28"/>
          <w:highlight w:val="none"/>
        </w:rPr>
        <w:t>评审程序</w:t>
      </w:r>
      <w:bookmarkEnd w:id="413"/>
      <w:bookmarkEnd w:id="414"/>
      <w:bookmarkEnd w:id="415"/>
    </w:p>
    <w:p>
      <w:pPr>
        <w:pStyle w:val="25"/>
        <w:rPr>
          <w:rFonts w:ascii="Times New Roman" w:hAnsi="Times New Roman" w:eastAsia="仿宋_GB2312"/>
          <w:b/>
          <w:color w:val="auto"/>
          <w:sz w:val="24"/>
          <w:highlight w:val="none"/>
        </w:rPr>
      </w:pPr>
      <w:bookmarkStart w:id="416" w:name="_Toc7005043"/>
      <w:r>
        <w:rPr>
          <w:rFonts w:ascii="Times New Roman" w:hAnsi="Times New Roman" w:eastAsia="仿宋_GB2312"/>
          <w:b/>
          <w:color w:val="auto"/>
          <w:sz w:val="24"/>
          <w:highlight w:val="none"/>
        </w:rPr>
        <w:t>3.1</w:t>
      </w:r>
      <w:r>
        <w:rPr>
          <w:rFonts w:hint="eastAsia" w:ascii="Times New Roman" w:hAnsi="Times New Roman" w:eastAsia="仿宋_GB2312"/>
          <w:b/>
          <w:color w:val="auto"/>
          <w:sz w:val="24"/>
          <w:highlight w:val="none"/>
        </w:rPr>
        <w:t xml:space="preserve"> </w:t>
      </w:r>
      <w:r>
        <w:rPr>
          <w:rFonts w:ascii="Times New Roman" w:hAnsi="Times New Roman" w:eastAsia="仿宋_GB2312"/>
          <w:b/>
          <w:color w:val="auto"/>
          <w:sz w:val="24"/>
          <w:highlight w:val="none"/>
        </w:rPr>
        <w:t>资格审查及符合性审查</w:t>
      </w:r>
      <w:bookmarkEnd w:id="416"/>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3.1.1 采购人或采购代理机构按附表一所列审查标准对供应商资格进行审查，以确定供应商是否具备磋商资格。</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3.1.2 磋商小组对符合资格要求的响应文件按附表二进行符合性审查，以确定其是否满足磋商文件的实质性要求（见本章内的符合性审查表）。</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磋商小组不接受供应商主动提出的澄清、说明或补正。</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供应商的书面澄清、说明和补正属于响应文件的组成部分。</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磋商小组对供应商提交的澄清、说明或补正有疑问的，可以要求供应商进一步澄清、说明或补正，直至满足评审小组的要求。</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3.1.4 不具备磋商文件要求的资格或未通过符合性审查的供应商，不参与磋商，由磋商小组告知该供应商。</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3.1.5 通过资格审查和符合性审查的合格供应商不足3家的，不再进行评审和磋商。</w:t>
      </w:r>
    </w:p>
    <w:p>
      <w:pPr>
        <w:pStyle w:val="25"/>
        <w:rPr>
          <w:rFonts w:ascii="Times New Roman" w:hAnsi="Times New Roman" w:eastAsia="仿宋_GB2312"/>
          <w:b/>
          <w:color w:val="auto"/>
          <w:sz w:val="24"/>
          <w:highlight w:val="none"/>
        </w:rPr>
      </w:pPr>
      <w:bookmarkStart w:id="417" w:name="_Toc7005044"/>
      <w:r>
        <w:rPr>
          <w:rFonts w:ascii="Times New Roman" w:hAnsi="Times New Roman" w:eastAsia="仿宋_GB2312"/>
          <w:b/>
          <w:color w:val="auto"/>
          <w:sz w:val="24"/>
          <w:highlight w:val="none"/>
        </w:rPr>
        <w:t>3.2 磋商</w:t>
      </w:r>
      <w:bookmarkEnd w:id="417"/>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3.2.1按“供应商须知”第五条规定，由磋商小组与供应商进行磋商。</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3.2.3 磋商结束后，磋商小组可以要求所有继续参加磋商的供应商在规定时间内提交最后报价函，提交最后报价函的供应商不得少于3家。</w:t>
      </w:r>
    </w:p>
    <w:p>
      <w:pPr>
        <w:pStyle w:val="25"/>
        <w:rPr>
          <w:rFonts w:ascii="Times New Roman" w:hAnsi="Times New Roman" w:eastAsia="仿宋_GB2312"/>
          <w:b/>
          <w:color w:val="auto"/>
          <w:sz w:val="24"/>
          <w:highlight w:val="none"/>
        </w:rPr>
      </w:pPr>
      <w:bookmarkStart w:id="418" w:name="_Toc7005045"/>
      <w:r>
        <w:rPr>
          <w:rFonts w:ascii="Times New Roman" w:hAnsi="Times New Roman" w:eastAsia="仿宋_GB2312"/>
          <w:b/>
          <w:color w:val="auto"/>
          <w:sz w:val="24"/>
          <w:highlight w:val="none"/>
        </w:rPr>
        <w:t>3.3</w:t>
      </w:r>
      <w:r>
        <w:rPr>
          <w:rFonts w:hint="eastAsia" w:ascii="Times New Roman" w:hAnsi="Times New Roman" w:eastAsia="仿宋_GB2312"/>
          <w:b/>
          <w:color w:val="auto"/>
          <w:sz w:val="24"/>
          <w:highlight w:val="none"/>
        </w:rPr>
        <w:t xml:space="preserve"> </w:t>
      </w:r>
      <w:r>
        <w:rPr>
          <w:rFonts w:ascii="Times New Roman" w:hAnsi="Times New Roman" w:eastAsia="仿宋_GB2312"/>
          <w:b/>
          <w:color w:val="auto"/>
          <w:sz w:val="24"/>
          <w:highlight w:val="none"/>
        </w:rPr>
        <w:t>评审</w:t>
      </w:r>
      <w:bookmarkEnd w:id="418"/>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3.3.1 比较与评价</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磋商小组按本章第2.3款[商务和技术评审标准]对供应商提交的响应文件（包括最后报价函）进行商务和技术评估，综合比较与评价。</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3.3.2 磋商小组按本章第2.3款规定的量化因素和分值进行打分，并计算出综合评估得分。</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（1）按本章第2.3.1项规定的评审因素和分值对商务部分计算出得分A；</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（2）按本章第2.3.2项规定的评审因素和分值对技术部分计算出得分B；</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（3）按本章第2.3.3项规定的评审因素和分值对报价部分计算出得分C。</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3.3.3评分分值计算保留小数点后两位，小数点后第三位“四舍五入”。</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3.3.4供应商得分=A＋B＋C</w:t>
      </w:r>
    </w:p>
    <w:p>
      <w:pPr>
        <w:pStyle w:val="25"/>
        <w:rPr>
          <w:rFonts w:ascii="Times New Roman" w:hAnsi="Times New Roman" w:eastAsia="仿宋_GB2312"/>
          <w:b/>
          <w:color w:val="auto"/>
          <w:sz w:val="24"/>
          <w:highlight w:val="none"/>
        </w:rPr>
      </w:pPr>
      <w:r>
        <w:rPr>
          <w:rFonts w:ascii="Times New Roman" w:hAnsi="Times New Roman" w:eastAsia="仿宋_GB2312"/>
          <w:b/>
          <w:color w:val="auto"/>
          <w:sz w:val="24"/>
          <w:highlight w:val="none"/>
        </w:rPr>
        <w:t>3.4 评审结果</w:t>
      </w:r>
    </w:p>
    <w:p>
      <w:pPr>
        <w:pStyle w:val="25"/>
        <w:rPr>
          <w:rFonts w:ascii="Times New Roman" w:hAnsi="Times New Roman" w:eastAsia="仿宋_GB2312"/>
          <w:color w:val="auto"/>
          <w:sz w:val="24"/>
          <w:highlight w:val="none"/>
        </w:rPr>
      </w:pPr>
      <w:r>
        <w:rPr>
          <w:rFonts w:ascii="Times New Roman" w:hAnsi="Times New Roman" w:eastAsia="仿宋_GB2312"/>
          <w:color w:val="auto"/>
          <w:sz w:val="24"/>
          <w:highlight w:val="none"/>
        </w:rPr>
        <w:t>3.4.1 除第二章“供应商须知”前附表授权直接确定成交供应商外，磋商小组按照得分由高到低的顺序推荐3名成交候选人。</w:t>
      </w:r>
    </w:p>
    <w:p>
      <w:pPr>
        <w:pStyle w:val="25"/>
        <w:rPr>
          <w:rFonts w:ascii="仿宋" w:hAnsi="仿宋" w:eastAsia="仿宋" w:cs="仿宋"/>
          <w:color w:val="auto"/>
          <w:sz w:val="24"/>
          <w:highlight w:val="none"/>
        </w:rPr>
      </w:pPr>
      <w:r>
        <w:rPr>
          <w:rFonts w:ascii="Times New Roman" w:hAnsi="Times New Roman" w:eastAsia="仿宋_GB2312"/>
          <w:color w:val="auto"/>
          <w:sz w:val="24"/>
          <w:highlight w:val="none"/>
        </w:rPr>
        <w:t>3.4.2 磋商小组完成评审后，应当向采购人提交书面评审报告。</w:t>
      </w:r>
    </w:p>
    <w:p>
      <w:pPr>
        <w:pStyle w:val="25"/>
        <w:rPr>
          <w:rFonts w:ascii="仿宋" w:hAnsi="仿宋" w:eastAsia="仿宋" w:cs="仿宋"/>
          <w:color w:val="auto"/>
          <w:sz w:val="24"/>
          <w:highlight w:val="none"/>
        </w:rPr>
      </w:pPr>
      <w:r>
        <w:rPr>
          <w:rFonts w:hint="eastAsia" w:ascii="仿宋" w:hAnsi="仿宋" w:eastAsia="仿宋" w:cs="仿宋"/>
          <w:color w:val="auto"/>
          <w:sz w:val="24"/>
          <w:highlight w:val="none"/>
        </w:rPr>
        <w:br w:type="page"/>
      </w:r>
    </w:p>
    <w:p>
      <w:pPr>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52" w:type="dxa"/>
            <w:vAlign w:val="center"/>
          </w:tcPr>
          <w:p>
            <w:pPr>
              <w:snapToGrid w:val="0"/>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2655" w:type="dxa"/>
            <w:vAlign w:val="center"/>
          </w:tcPr>
          <w:p>
            <w:pPr>
              <w:snapToGrid w:val="0"/>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评审内容</w:t>
            </w:r>
          </w:p>
        </w:tc>
        <w:tc>
          <w:tcPr>
            <w:tcW w:w="4677" w:type="dxa"/>
            <w:vAlign w:val="center"/>
          </w:tcPr>
          <w:p>
            <w:pPr>
              <w:snapToGrid w:val="0"/>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评审合格标准</w:t>
            </w:r>
          </w:p>
        </w:tc>
        <w:tc>
          <w:tcPr>
            <w:tcW w:w="1178" w:type="dxa"/>
            <w:vAlign w:val="center"/>
          </w:tcPr>
          <w:p>
            <w:pPr>
              <w:snapToGrid w:val="0"/>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
                <w:b/>
                <w:color w:val="auto"/>
                <w:szCs w:val="21"/>
                <w:highlight w:val="none"/>
              </w:rPr>
            </w:pPr>
            <w:r>
              <w:rPr>
                <w:rFonts w:hint="eastAsia" w:ascii="仿宋" w:hAnsi="仿宋" w:eastAsia="仿宋" w:cs="仿宋"/>
                <w:color w:val="auto"/>
                <w:szCs w:val="21"/>
                <w:highlight w:val="none"/>
              </w:rPr>
              <w:t>1</w:t>
            </w:r>
          </w:p>
        </w:tc>
        <w:tc>
          <w:tcPr>
            <w:tcW w:w="2655" w:type="dxa"/>
            <w:vAlign w:val="center"/>
          </w:tcPr>
          <w:p>
            <w:pPr>
              <w:snapToGrid w:val="0"/>
              <w:jc w:val="left"/>
              <w:rPr>
                <w:rFonts w:ascii="仿宋" w:hAnsi="仿宋" w:eastAsia="仿宋" w:cs="仿宋"/>
                <w:b/>
                <w:color w:val="auto"/>
                <w:szCs w:val="21"/>
                <w:highlight w:val="none"/>
              </w:rPr>
            </w:pPr>
            <w:r>
              <w:rPr>
                <w:rFonts w:hint="eastAsia" w:ascii="仿宋" w:hAnsi="仿宋" w:eastAsia="仿宋" w:cs="仿宋"/>
                <w:color w:val="auto"/>
                <w:szCs w:val="21"/>
                <w:highlight w:val="none"/>
              </w:rPr>
              <w:t>供应商名称</w:t>
            </w:r>
          </w:p>
        </w:tc>
        <w:tc>
          <w:tcPr>
            <w:tcW w:w="4677" w:type="dxa"/>
            <w:vAlign w:val="center"/>
          </w:tcPr>
          <w:p>
            <w:pPr>
              <w:snapToGrid w:val="0"/>
              <w:rPr>
                <w:rFonts w:ascii="仿宋" w:hAnsi="仿宋" w:eastAsia="仿宋" w:cs="仿宋"/>
                <w:b/>
                <w:color w:val="auto"/>
                <w:szCs w:val="21"/>
                <w:highlight w:val="none"/>
              </w:rPr>
            </w:pPr>
            <w:r>
              <w:rPr>
                <w:rFonts w:hint="eastAsia" w:ascii="仿宋" w:hAnsi="仿宋" w:eastAsia="仿宋" w:cs="仿宋"/>
                <w:color w:val="auto"/>
                <w:szCs w:val="21"/>
                <w:highlight w:val="none"/>
              </w:rPr>
              <w:t>与营业执照一致（符合法定工商变更程序除外）。</w:t>
            </w:r>
          </w:p>
        </w:tc>
        <w:tc>
          <w:tcPr>
            <w:tcW w:w="1178" w:type="dxa"/>
            <w:vAlign w:val="center"/>
          </w:tcPr>
          <w:p>
            <w:pPr>
              <w:snapToGrid w:val="0"/>
              <w:jc w:val="center"/>
              <w:rPr>
                <w:rFonts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2655" w:type="dxa"/>
            <w:vAlign w:val="center"/>
          </w:tcPr>
          <w:p>
            <w:pPr>
              <w:snapToGrid w:val="0"/>
              <w:jc w:val="left"/>
              <w:rPr>
                <w:rFonts w:ascii="仿宋" w:hAnsi="仿宋" w:eastAsia="仿宋" w:cs="仿宋"/>
                <w:color w:val="auto"/>
                <w:szCs w:val="21"/>
                <w:highlight w:val="none"/>
              </w:rPr>
            </w:pPr>
            <w:r>
              <w:rPr>
                <w:rFonts w:hint="eastAsia" w:ascii="仿宋" w:hAnsi="仿宋" w:eastAsia="仿宋" w:cs="仿宋"/>
                <w:color w:val="auto"/>
                <w:szCs w:val="21"/>
                <w:highlight w:val="none"/>
              </w:rPr>
              <w:t>具有独立承担民事责任的能力</w:t>
            </w:r>
          </w:p>
        </w:tc>
        <w:tc>
          <w:tcPr>
            <w:tcW w:w="4677" w:type="dxa"/>
            <w:vAlign w:val="center"/>
          </w:tcPr>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提供了有效的法人或者其他组织的营业执照等证明文件，自然人的身份证明。</w:t>
            </w:r>
          </w:p>
        </w:tc>
        <w:tc>
          <w:tcPr>
            <w:tcW w:w="1178" w:type="dxa"/>
            <w:vAlign w:val="center"/>
          </w:tcPr>
          <w:p>
            <w:pPr>
              <w:snapToGrid w:val="0"/>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2655" w:type="dxa"/>
            <w:shd w:val="clear" w:color="auto" w:fill="auto"/>
            <w:vAlign w:val="center"/>
          </w:tcPr>
          <w:p>
            <w:pPr>
              <w:snapToGrid w:val="0"/>
              <w:jc w:val="left"/>
              <w:rPr>
                <w:rFonts w:ascii="仿宋" w:hAnsi="仿宋" w:eastAsia="仿宋" w:cs="仿宋"/>
                <w:color w:val="auto"/>
                <w:szCs w:val="21"/>
                <w:highlight w:val="none"/>
              </w:rPr>
            </w:pPr>
            <w:r>
              <w:rPr>
                <w:rFonts w:hint="eastAsia" w:ascii="仿宋" w:hAnsi="仿宋" w:eastAsia="仿宋" w:cs="仿宋"/>
                <w:color w:val="auto"/>
                <w:szCs w:val="21"/>
                <w:highlight w:val="none"/>
              </w:rPr>
              <w:t>具有健全的财务会计制度</w:t>
            </w:r>
          </w:p>
        </w:tc>
        <w:tc>
          <w:tcPr>
            <w:tcW w:w="4677" w:type="dxa"/>
            <w:shd w:val="clear" w:color="auto" w:fill="auto"/>
            <w:vAlign w:val="center"/>
          </w:tcPr>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提供了2020-2022年度任意一年的财务审计报告或本年度基本开户银行出具的资信证明。</w:t>
            </w:r>
          </w:p>
        </w:tc>
        <w:tc>
          <w:tcPr>
            <w:tcW w:w="1178" w:type="dxa"/>
            <w:vAlign w:val="center"/>
          </w:tcPr>
          <w:p>
            <w:pPr>
              <w:snapToGrid w:val="0"/>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2655" w:type="dxa"/>
            <w:shd w:val="clear" w:color="auto" w:fill="auto"/>
            <w:vAlign w:val="center"/>
          </w:tcPr>
          <w:p>
            <w:pPr>
              <w:snapToGrid w:val="0"/>
              <w:jc w:val="left"/>
              <w:rPr>
                <w:rFonts w:ascii="仿宋" w:hAnsi="仿宋" w:eastAsia="仿宋" w:cs="仿宋"/>
                <w:color w:val="auto"/>
                <w:szCs w:val="21"/>
                <w:highlight w:val="none"/>
              </w:rPr>
            </w:pPr>
            <w:r>
              <w:rPr>
                <w:rFonts w:hint="eastAsia" w:ascii="仿宋" w:hAnsi="仿宋" w:eastAsia="仿宋" w:cs="仿宋"/>
                <w:color w:val="auto"/>
                <w:szCs w:val="21"/>
                <w:highlight w:val="none"/>
              </w:rPr>
              <w:t>具有履行合同所必需的设备和专业技术能力</w:t>
            </w:r>
          </w:p>
        </w:tc>
        <w:tc>
          <w:tcPr>
            <w:tcW w:w="4677" w:type="dxa"/>
            <w:shd w:val="clear" w:color="auto" w:fill="auto"/>
            <w:vAlign w:val="center"/>
          </w:tcPr>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提供了可充分满足履行合同所需设备和专业技术能力的证明材料或承诺。</w:t>
            </w:r>
          </w:p>
        </w:tc>
        <w:tc>
          <w:tcPr>
            <w:tcW w:w="1178" w:type="dxa"/>
            <w:vAlign w:val="center"/>
          </w:tcPr>
          <w:p>
            <w:pPr>
              <w:snapToGrid w:val="0"/>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2655" w:type="dxa"/>
            <w:vAlign w:val="center"/>
          </w:tcPr>
          <w:p>
            <w:pPr>
              <w:snapToGrid w:val="0"/>
              <w:jc w:val="left"/>
              <w:rPr>
                <w:rFonts w:ascii="仿宋" w:hAnsi="仿宋" w:eastAsia="仿宋" w:cs="仿宋"/>
                <w:color w:val="auto"/>
                <w:szCs w:val="21"/>
                <w:highlight w:val="none"/>
              </w:rPr>
            </w:pPr>
            <w:r>
              <w:rPr>
                <w:rFonts w:hint="eastAsia" w:ascii="仿宋" w:hAnsi="仿宋" w:eastAsia="仿宋" w:cs="仿宋"/>
                <w:color w:val="auto"/>
                <w:szCs w:val="21"/>
                <w:highlight w:val="none"/>
              </w:rPr>
              <w:t>有依法缴纳税收和社会保障资金的良好记录</w:t>
            </w:r>
          </w:p>
        </w:tc>
        <w:tc>
          <w:tcPr>
            <w:tcW w:w="4677" w:type="dxa"/>
            <w:vAlign w:val="center"/>
          </w:tcPr>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1.提供了近6个月中任意一个月依法缴纳税收的凭证或免税证明（复印件加盖公章）。</w:t>
            </w:r>
          </w:p>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2. 提供了近6个月中任意一个月依法缴纳社会保障资金记录或免缴纳证明（复印件加盖公章）</w:t>
            </w:r>
          </w:p>
        </w:tc>
        <w:tc>
          <w:tcPr>
            <w:tcW w:w="1178" w:type="dxa"/>
            <w:vAlign w:val="center"/>
          </w:tcPr>
          <w:p>
            <w:pPr>
              <w:snapToGrid w:val="0"/>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2655" w:type="dxa"/>
            <w:vAlign w:val="center"/>
          </w:tcPr>
          <w:p>
            <w:pPr>
              <w:snapToGrid w:val="0"/>
              <w:jc w:val="left"/>
              <w:rPr>
                <w:rFonts w:ascii="仿宋" w:hAnsi="仿宋" w:eastAsia="仿宋" w:cs="仿宋"/>
                <w:color w:val="auto"/>
                <w:szCs w:val="21"/>
                <w:highlight w:val="none"/>
              </w:rPr>
            </w:pPr>
            <w:r>
              <w:rPr>
                <w:rFonts w:hint="eastAsia" w:ascii="仿宋" w:hAnsi="仿宋" w:eastAsia="仿宋" w:cs="仿宋"/>
                <w:color w:val="auto"/>
                <w:szCs w:val="21"/>
                <w:highlight w:val="none"/>
              </w:rPr>
              <w:t>参加政府采购活动前三年内，在经营活动中没有重大违法记录</w:t>
            </w:r>
          </w:p>
        </w:tc>
        <w:tc>
          <w:tcPr>
            <w:tcW w:w="4677" w:type="dxa"/>
            <w:vAlign w:val="center"/>
          </w:tcPr>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提供了有效的参加政府采购活动前3年内在经营活动中没有重大违法记录的书面声明。</w:t>
            </w:r>
          </w:p>
        </w:tc>
        <w:tc>
          <w:tcPr>
            <w:tcW w:w="1178" w:type="dxa"/>
            <w:vAlign w:val="center"/>
          </w:tcPr>
          <w:p>
            <w:pPr>
              <w:snapToGrid w:val="0"/>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7</w:t>
            </w:r>
          </w:p>
        </w:tc>
        <w:tc>
          <w:tcPr>
            <w:tcW w:w="2655" w:type="dxa"/>
            <w:vAlign w:val="center"/>
          </w:tcPr>
          <w:p>
            <w:pPr>
              <w:snapToGrid w:val="0"/>
              <w:jc w:val="left"/>
              <w:rPr>
                <w:rFonts w:ascii="仿宋" w:hAnsi="仿宋" w:eastAsia="仿宋" w:cs="仿宋"/>
                <w:color w:val="auto"/>
                <w:szCs w:val="21"/>
                <w:highlight w:val="none"/>
              </w:rPr>
            </w:pPr>
            <w:r>
              <w:rPr>
                <w:rFonts w:hint="eastAsia" w:ascii="仿宋" w:hAnsi="仿宋" w:eastAsia="仿宋" w:cs="仿宋"/>
                <w:color w:val="auto"/>
                <w:szCs w:val="21"/>
                <w:highlight w:val="none"/>
              </w:rPr>
              <w:t>法律、行政法规规定的其他条件</w:t>
            </w:r>
          </w:p>
        </w:tc>
        <w:tc>
          <w:tcPr>
            <w:tcW w:w="4677" w:type="dxa"/>
            <w:vAlign w:val="center"/>
          </w:tcPr>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不存在违反法律、法规的情况。</w:t>
            </w:r>
          </w:p>
        </w:tc>
        <w:tc>
          <w:tcPr>
            <w:tcW w:w="1178" w:type="dxa"/>
            <w:vAlign w:val="center"/>
          </w:tcPr>
          <w:p>
            <w:pPr>
              <w:snapToGrid w:val="0"/>
              <w:ind w:left="425"/>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8</w:t>
            </w:r>
          </w:p>
        </w:tc>
        <w:tc>
          <w:tcPr>
            <w:tcW w:w="2655" w:type="dxa"/>
            <w:vAlign w:val="center"/>
          </w:tcPr>
          <w:p>
            <w:pPr>
              <w:snapToGrid w:val="0"/>
              <w:jc w:val="left"/>
              <w:rPr>
                <w:rFonts w:ascii="仿宋" w:hAnsi="仿宋" w:eastAsia="仿宋" w:cs="仿宋"/>
                <w:color w:val="auto"/>
                <w:szCs w:val="21"/>
                <w:highlight w:val="none"/>
              </w:rPr>
            </w:pPr>
            <w:r>
              <w:rPr>
                <w:rFonts w:hint="eastAsia" w:ascii="仿宋" w:hAnsi="仿宋" w:eastAsia="仿宋" w:cs="仿宋"/>
                <w:color w:val="auto"/>
                <w:szCs w:val="21"/>
                <w:highlight w:val="none"/>
              </w:rPr>
              <w:t>“信用中国”网站和中国政府采购网（www.ccgp.gov.cn）查询记录</w:t>
            </w:r>
          </w:p>
        </w:tc>
        <w:tc>
          <w:tcPr>
            <w:tcW w:w="4677" w:type="dxa"/>
            <w:vAlign w:val="center"/>
          </w:tcPr>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未被“信用中国”网站（</w:t>
            </w:r>
            <w:r>
              <w:rPr>
                <w:color w:val="auto"/>
                <w:highlight w:val="none"/>
              </w:rPr>
              <w:fldChar w:fldCharType="begin"/>
            </w:r>
            <w:r>
              <w:rPr>
                <w:color w:val="auto"/>
                <w:highlight w:val="none"/>
              </w:rPr>
              <w:instrText xml:space="preserve"> HYPERLINK "http://www.creditchina.gov.cn）中列入失信被执行人和/" </w:instrText>
            </w:r>
            <w:r>
              <w:rPr>
                <w:color w:val="auto"/>
                <w:highlight w:val="none"/>
              </w:rPr>
              <w:fldChar w:fldCharType="separate"/>
            </w:r>
            <w:r>
              <w:rPr>
                <w:rFonts w:hint="eastAsia" w:ascii="仿宋" w:hAnsi="仿宋" w:eastAsia="仿宋" w:cs="仿宋"/>
                <w:color w:val="auto"/>
                <w:szCs w:val="21"/>
                <w:highlight w:val="none"/>
              </w:rPr>
              <w:t>www.creditchina.gov.cn）列入失信被执行人和/</w:t>
            </w:r>
            <w:r>
              <w:rPr>
                <w:rFonts w:hint="eastAsia" w:ascii="仿宋" w:hAnsi="仿宋" w:eastAsia="仿宋" w:cs="仿宋"/>
                <w:color w:val="auto"/>
                <w:szCs w:val="21"/>
                <w:highlight w:val="none"/>
              </w:rPr>
              <w:fldChar w:fldCharType="end"/>
            </w:r>
            <w:r>
              <w:rPr>
                <w:rFonts w:hint="eastAsia" w:ascii="仿宋" w:hAnsi="仿宋" w:eastAsia="仿宋" w:cs="仿宋"/>
                <w:color w:val="auto"/>
                <w:szCs w:val="21"/>
                <w:highlight w:val="none"/>
              </w:rPr>
              <w:t>或重大税收违法失信主体，未被中国政府采购网（www.ccgp.gov.cn）列入政府采购严重违法失信行为记录名单中被财政部门禁止参加政府采购活动的供应商（处罚决定规定的时间和地域范围内）。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9</w:t>
            </w:r>
          </w:p>
        </w:tc>
        <w:tc>
          <w:tcPr>
            <w:tcW w:w="2655" w:type="dxa"/>
            <w:vAlign w:val="center"/>
          </w:tcPr>
          <w:p>
            <w:pPr>
              <w:snapToGrid w:val="0"/>
              <w:jc w:val="left"/>
              <w:rPr>
                <w:rFonts w:ascii="仿宋" w:hAnsi="仿宋" w:eastAsia="仿宋" w:cs="仿宋"/>
                <w:color w:val="auto"/>
                <w:szCs w:val="21"/>
                <w:highlight w:val="none"/>
              </w:rPr>
            </w:pPr>
            <w:r>
              <w:rPr>
                <w:rFonts w:hint="eastAsia" w:ascii="仿宋" w:hAnsi="仿宋" w:eastAsia="仿宋" w:cs="仿宋"/>
                <w:color w:val="auto"/>
                <w:szCs w:val="21"/>
                <w:highlight w:val="none"/>
              </w:rPr>
              <w:t>单位负责人为同一人或者存在控股、管理关系的不同单位，不得同时参加本项目的磋商。</w:t>
            </w:r>
          </w:p>
        </w:tc>
        <w:tc>
          <w:tcPr>
            <w:tcW w:w="4677" w:type="dxa"/>
            <w:vAlign w:val="center"/>
          </w:tcPr>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w:t>
            </w:r>
          </w:p>
        </w:tc>
        <w:tc>
          <w:tcPr>
            <w:tcW w:w="2655" w:type="dxa"/>
            <w:vAlign w:val="center"/>
          </w:tcPr>
          <w:p>
            <w:pPr>
              <w:snapToGrid w:val="0"/>
              <w:jc w:val="left"/>
              <w:rPr>
                <w:rFonts w:ascii="仿宋" w:hAnsi="仿宋" w:eastAsia="仿宋" w:cs="仿宋"/>
                <w:color w:val="auto"/>
                <w:szCs w:val="21"/>
                <w:highlight w:val="none"/>
              </w:rPr>
            </w:pPr>
            <w:r>
              <w:rPr>
                <w:rFonts w:hint="eastAsia" w:ascii="仿宋" w:hAnsi="仿宋" w:eastAsia="仿宋" w:cs="仿宋"/>
                <w:color w:val="auto"/>
                <w:szCs w:val="21"/>
                <w:highlight w:val="none"/>
              </w:rPr>
              <w:t>为本项目提供整体设计、规范编制或者项目管理、监理、检测等服务的供应商，不得再参加本项目磋商。</w:t>
            </w:r>
          </w:p>
        </w:tc>
        <w:tc>
          <w:tcPr>
            <w:tcW w:w="4677" w:type="dxa"/>
            <w:vAlign w:val="center"/>
          </w:tcPr>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提供了供应商未为本项目提供整体设计、规范编制或者项目管理、监理、检测等服务的声明。</w:t>
            </w:r>
          </w:p>
        </w:tc>
        <w:tc>
          <w:tcPr>
            <w:tcW w:w="1178" w:type="dxa"/>
            <w:vAlign w:val="center"/>
          </w:tcPr>
          <w:p>
            <w:pPr>
              <w:snapToGrid w:val="0"/>
              <w:ind w:left="425"/>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11</w:t>
            </w:r>
          </w:p>
        </w:tc>
        <w:tc>
          <w:tcPr>
            <w:tcW w:w="2655" w:type="dxa"/>
            <w:vAlign w:val="center"/>
          </w:tcPr>
          <w:p>
            <w:pPr>
              <w:snapToGrid w:val="0"/>
              <w:jc w:val="left"/>
              <w:rPr>
                <w:rFonts w:ascii="仿宋" w:hAnsi="仿宋" w:eastAsia="仿宋" w:cs="仿宋"/>
                <w:color w:val="auto"/>
                <w:szCs w:val="21"/>
                <w:highlight w:val="none"/>
              </w:rPr>
            </w:pPr>
            <w:r>
              <w:rPr>
                <w:rFonts w:hint="eastAsia" w:ascii="仿宋" w:hAnsi="仿宋" w:eastAsia="仿宋" w:cs="仿宋"/>
                <w:color w:val="auto"/>
                <w:szCs w:val="21"/>
                <w:highlight w:val="none"/>
              </w:rPr>
              <w:t>非联合体</w:t>
            </w:r>
          </w:p>
        </w:tc>
        <w:tc>
          <w:tcPr>
            <w:tcW w:w="4677" w:type="dxa"/>
            <w:vAlign w:val="center"/>
          </w:tcPr>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本项目不接受联合体磋商。</w:t>
            </w:r>
          </w:p>
        </w:tc>
        <w:tc>
          <w:tcPr>
            <w:tcW w:w="1178" w:type="dxa"/>
            <w:vAlign w:val="center"/>
          </w:tcPr>
          <w:p>
            <w:pPr>
              <w:snapToGrid w:val="0"/>
              <w:ind w:left="425"/>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12</w:t>
            </w:r>
          </w:p>
        </w:tc>
        <w:tc>
          <w:tcPr>
            <w:tcW w:w="2655" w:type="dxa"/>
            <w:vAlign w:val="center"/>
          </w:tcPr>
          <w:p>
            <w:pPr>
              <w:snapToGrid w:val="0"/>
              <w:jc w:val="left"/>
              <w:rPr>
                <w:rFonts w:ascii="仿宋" w:hAnsi="仿宋" w:eastAsia="仿宋" w:cs="仿宋"/>
                <w:color w:val="auto"/>
                <w:szCs w:val="21"/>
                <w:highlight w:val="none"/>
              </w:rPr>
            </w:pPr>
            <w:r>
              <w:rPr>
                <w:rFonts w:hint="eastAsia" w:ascii="仿宋" w:hAnsi="仿宋" w:eastAsia="仿宋" w:cs="仿宋"/>
                <w:color w:val="auto"/>
                <w:szCs w:val="21"/>
                <w:highlight w:val="none"/>
              </w:rPr>
              <w:t>中小企业</w:t>
            </w:r>
          </w:p>
        </w:tc>
        <w:tc>
          <w:tcPr>
            <w:tcW w:w="4677" w:type="dxa"/>
            <w:vAlign w:val="center"/>
          </w:tcPr>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本项目为专门面向中小企业的项目，供应商应为中小微企业、监狱企业或残疾人福利性单位。</w:t>
            </w:r>
          </w:p>
        </w:tc>
        <w:tc>
          <w:tcPr>
            <w:tcW w:w="1178" w:type="dxa"/>
            <w:vAlign w:val="center"/>
          </w:tcPr>
          <w:p>
            <w:pPr>
              <w:snapToGrid w:val="0"/>
              <w:ind w:left="425"/>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652"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13</w:t>
            </w:r>
          </w:p>
        </w:tc>
        <w:tc>
          <w:tcPr>
            <w:tcW w:w="2655" w:type="dxa"/>
            <w:vAlign w:val="center"/>
          </w:tcPr>
          <w:p>
            <w:pPr>
              <w:snapToGrid w:val="0"/>
              <w:jc w:val="left"/>
              <w:rPr>
                <w:rFonts w:ascii="仿宋" w:hAnsi="仿宋" w:eastAsia="仿宋" w:cs="仿宋"/>
                <w:color w:val="auto"/>
                <w:szCs w:val="21"/>
                <w:highlight w:val="none"/>
              </w:rPr>
            </w:pPr>
            <w:r>
              <w:rPr>
                <w:rFonts w:hint="eastAsia" w:ascii="仿宋" w:hAnsi="仿宋" w:eastAsia="仿宋" w:cs="仿宋"/>
                <w:color w:val="auto"/>
                <w:szCs w:val="21"/>
                <w:highlight w:val="none"/>
              </w:rPr>
              <w:t>供应商特定资格条件</w:t>
            </w:r>
          </w:p>
        </w:tc>
        <w:tc>
          <w:tcPr>
            <w:tcW w:w="4677" w:type="dxa"/>
            <w:vAlign w:val="center"/>
          </w:tcPr>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1、按照采购公告规定的方式获取了磋商文件；</w:t>
            </w:r>
          </w:p>
          <w:p>
            <w:pPr>
              <w:snapToGrid w:val="0"/>
              <w:rPr>
                <w:rFonts w:ascii="仿宋" w:hAnsi="仿宋" w:eastAsia="仿宋" w:cs="仿宋"/>
                <w:color w:val="auto"/>
                <w:highlight w:val="none"/>
              </w:rPr>
            </w:pPr>
            <w:r>
              <w:rPr>
                <w:rFonts w:hint="eastAsia" w:ascii="仿宋" w:hAnsi="仿宋" w:eastAsia="仿宋" w:cs="仿宋"/>
                <w:color w:val="auto"/>
                <w:szCs w:val="21"/>
                <w:highlight w:val="none"/>
              </w:rPr>
              <w:t>2、供应商应授权合法的人员参加磋商，其中法定代表人（或单位负责人）直接参加磋商的，须出具法定代表人（或单位负责人）身份证明，并与营业执照上信息一致。法定代表人（或单位负责人）授权代表参加磋商的，须出具法定代表人（或单位负责人）授权书及授权代表身份证。</w:t>
            </w:r>
          </w:p>
        </w:tc>
        <w:tc>
          <w:tcPr>
            <w:tcW w:w="1178" w:type="dxa"/>
            <w:vAlign w:val="center"/>
          </w:tcPr>
          <w:p>
            <w:pPr>
              <w:snapToGrid w:val="0"/>
              <w:ind w:left="425"/>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ascii="仿宋" w:hAnsi="仿宋" w:eastAsia="仿宋" w:cs="仿宋"/>
                <w:color w:val="auto"/>
                <w:szCs w:val="21"/>
                <w:highlight w:val="none"/>
              </w:rPr>
            </w:pPr>
          </w:p>
        </w:tc>
        <w:tc>
          <w:tcPr>
            <w:tcW w:w="2655" w:type="dxa"/>
            <w:vAlign w:val="center"/>
          </w:tcPr>
          <w:p>
            <w:pPr>
              <w:snapToGrid w:val="0"/>
              <w:ind w:left="425"/>
              <w:jc w:val="center"/>
              <w:rPr>
                <w:rFonts w:ascii="仿宋" w:hAnsi="仿宋" w:eastAsia="仿宋" w:cs="仿宋"/>
                <w:color w:val="auto"/>
                <w:szCs w:val="21"/>
                <w:highlight w:val="none"/>
              </w:rPr>
            </w:pPr>
            <w:r>
              <w:rPr>
                <w:rFonts w:hint="eastAsia" w:ascii="仿宋" w:hAnsi="仿宋" w:eastAsia="仿宋" w:cs="仿宋"/>
                <w:color w:val="auto"/>
                <w:szCs w:val="21"/>
                <w:highlight w:val="none"/>
              </w:rPr>
              <w:t>结论</w:t>
            </w:r>
          </w:p>
        </w:tc>
        <w:tc>
          <w:tcPr>
            <w:tcW w:w="4677" w:type="dxa"/>
          </w:tcPr>
          <w:p>
            <w:pPr>
              <w:snapToGrid w:val="0"/>
              <w:jc w:val="center"/>
              <w:rPr>
                <w:rFonts w:ascii="仿宋" w:hAnsi="仿宋" w:eastAsia="仿宋" w:cs="仿宋"/>
                <w:color w:val="auto"/>
                <w:szCs w:val="21"/>
                <w:highlight w:val="none"/>
              </w:rPr>
            </w:pPr>
          </w:p>
        </w:tc>
        <w:tc>
          <w:tcPr>
            <w:tcW w:w="1178" w:type="dxa"/>
            <w:vAlign w:val="center"/>
          </w:tcPr>
          <w:p>
            <w:pPr>
              <w:snapToGrid w:val="0"/>
              <w:ind w:left="425"/>
              <w:jc w:val="center"/>
              <w:rPr>
                <w:rFonts w:ascii="仿宋" w:hAnsi="仿宋" w:eastAsia="仿宋" w:cs="仿宋"/>
                <w:color w:val="auto"/>
                <w:szCs w:val="21"/>
                <w:highlight w:val="none"/>
              </w:rPr>
            </w:pPr>
          </w:p>
        </w:tc>
      </w:tr>
    </w:tbl>
    <w:p>
      <w:pPr>
        <w:spacing w:line="0" w:lineRule="atLeast"/>
        <w:ind w:left="425"/>
        <w:rPr>
          <w:rFonts w:ascii="仿宋" w:hAnsi="仿宋" w:eastAsia="仿宋" w:cs="仿宋"/>
          <w:color w:val="auto"/>
          <w:szCs w:val="21"/>
          <w:highlight w:val="none"/>
        </w:rPr>
      </w:pPr>
      <w:r>
        <w:rPr>
          <w:rFonts w:hint="eastAsia" w:ascii="仿宋" w:hAnsi="仿宋" w:eastAsia="仿宋" w:cs="仿宋"/>
          <w:color w:val="auto"/>
          <w:szCs w:val="21"/>
          <w:highlight w:val="none"/>
        </w:rPr>
        <w:t>注：符合要求用“√”表示，不符合用“×”表示。有一项不符合要求，结论为不合格。</w:t>
      </w:r>
    </w:p>
    <w:p>
      <w:pPr>
        <w:spacing w:line="360" w:lineRule="auto"/>
        <w:jc w:val="center"/>
        <w:rPr>
          <w:rFonts w:ascii="仿宋" w:hAnsi="仿宋" w:eastAsia="仿宋" w:cs="仿宋"/>
          <w:b/>
          <w:color w:val="auto"/>
          <w:sz w:val="28"/>
          <w:szCs w:val="28"/>
          <w:highlight w:val="none"/>
        </w:rPr>
      </w:pPr>
      <w:r>
        <w:rPr>
          <w:rFonts w:hint="eastAsia" w:ascii="仿宋" w:hAnsi="仿宋" w:eastAsia="仿宋" w:cs="仿宋"/>
          <w:color w:val="auto"/>
          <w:szCs w:val="21"/>
          <w:highlight w:val="none"/>
        </w:rPr>
        <w:br w:type="page"/>
      </w:r>
      <w:r>
        <w:rPr>
          <w:rFonts w:hint="eastAsia" w:ascii="仿宋" w:hAnsi="仿宋" w:eastAsia="仿宋" w:cs="仿宋"/>
          <w:b/>
          <w:color w:val="auto"/>
          <w:sz w:val="30"/>
          <w:szCs w:val="30"/>
          <w:highlight w:val="none"/>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ascii="仿宋" w:hAnsi="仿宋" w:eastAsia="仿宋" w:cs="仿宋"/>
                <w:b/>
                <w:caps/>
                <w:color w:val="auto"/>
                <w:szCs w:val="21"/>
                <w:highlight w:val="none"/>
              </w:rPr>
            </w:pPr>
            <w:r>
              <w:rPr>
                <w:rFonts w:hint="eastAsia" w:ascii="仿宋" w:hAnsi="仿宋" w:eastAsia="仿宋" w:cs="仿宋"/>
                <w:b/>
                <w:caps/>
                <w:color w:val="auto"/>
                <w:szCs w:val="21"/>
                <w:highlight w:val="none"/>
              </w:rPr>
              <w:t>序号</w:t>
            </w:r>
          </w:p>
        </w:tc>
        <w:tc>
          <w:tcPr>
            <w:tcW w:w="1723" w:type="dxa"/>
            <w:vAlign w:val="center"/>
          </w:tcPr>
          <w:p>
            <w:pPr>
              <w:tabs>
                <w:tab w:val="left" w:pos="1260"/>
                <w:tab w:val="left" w:pos="1620"/>
              </w:tabs>
              <w:adjustRightInd w:val="0"/>
              <w:snapToGrid w:val="0"/>
              <w:jc w:val="center"/>
              <w:textAlignment w:val="baseline"/>
              <w:rPr>
                <w:rFonts w:ascii="仿宋" w:hAnsi="仿宋" w:eastAsia="仿宋" w:cs="仿宋"/>
                <w:b/>
                <w:caps/>
                <w:color w:val="auto"/>
                <w:szCs w:val="21"/>
                <w:highlight w:val="none"/>
              </w:rPr>
            </w:pPr>
            <w:r>
              <w:rPr>
                <w:rFonts w:hint="eastAsia" w:ascii="仿宋" w:hAnsi="仿宋" w:eastAsia="仿宋" w:cs="仿宋"/>
                <w:b/>
                <w:caps/>
                <w:color w:val="auto"/>
                <w:szCs w:val="21"/>
                <w:highlight w:val="none"/>
              </w:rPr>
              <w:t>评审项目</w:t>
            </w:r>
          </w:p>
        </w:tc>
        <w:tc>
          <w:tcPr>
            <w:tcW w:w="5401" w:type="dxa"/>
            <w:vAlign w:val="center"/>
          </w:tcPr>
          <w:p>
            <w:pPr>
              <w:tabs>
                <w:tab w:val="left" w:pos="1260"/>
                <w:tab w:val="left" w:pos="1620"/>
              </w:tabs>
              <w:adjustRightInd w:val="0"/>
              <w:snapToGrid w:val="0"/>
              <w:jc w:val="center"/>
              <w:textAlignment w:val="baseline"/>
              <w:rPr>
                <w:rFonts w:ascii="仿宋" w:hAnsi="仿宋" w:eastAsia="仿宋" w:cs="仿宋"/>
                <w:b/>
                <w:caps/>
                <w:color w:val="auto"/>
                <w:szCs w:val="21"/>
                <w:highlight w:val="none"/>
              </w:rPr>
            </w:pPr>
            <w:r>
              <w:rPr>
                <w:rFonts w:hint="eastAsia" w:ascii="仿宋" w:hAnsi="仿宋" w:eastAsia="仿宋" w:cs="仿宋"/>
                <w:b/>
                <w:caps/>
                <w:color w:val="auto"/>
                <w:szCs w:val="21"/>
                <w:highlight w:val="none"/>
              </w:rPr>
              <w:t>评审标准</w:t>
            </w:r>
          </w:p>
        </w:tc>
        <w:tc>
          <w:tcPr>
            <w:tcW w:w="1313" w:type="dxa"/>
            <w:vAlign w:val="center"/>
          </w:tcPr>
          <w:p>
            <w:pPr>
              <w:tabs>
                <w:tab w:val="left" w:pos="1260"/>
                <w:tab w:val="left" w:pos="1620"/>
              </w:tabs>
              <w:adjustRightInd w:val="0"/>
              <w:snapToGrid w:val="0"/>
              <w:jc w:val="center"/>
              <w:textAlignment w:val="baseline"/>
              <w:rPr>
                <w:rFonts w:ascii="仿宋" w:hAnsi="仿宋" w:eastAsia="仿宋" w:cs="仿宋"/>
                <w:b/>
                <w:caps/>
                <w:color w:val="auto"/>
                <w:szCs w:val="21"/>
                <w:highlight w:val="none"/>
              </w:rPr>
            </w:pPr>
            <w:r>
              <w:rPr>
                <w:rFonts w:hint="eastAsia" w:ascii="仿宋" w:hAnsi="仿宋" w:eastAsia="仿宋" w:cs="仿宋"/>
                <w:b/>
                <w:color w:val="auto"/>
                <w:szCs w:val="21"/>
                <w:highlight w:val="none"/>
              </w:rPr>
              <w:t>是否符合要求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ascii="仿宋" w:hAnsi="仿宋" w:eastAsia="仿宋" w:cs="仿宋"/>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响应文件签署盖章</w:t>
            </w:r>
          </w:p>
        </w:tc>
        <w:tc>
          <w:tcPr>
            <w:tcW w:w="5401"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按磋商文件要求加盖了供应商公章和有法定代表人（或单位负责人）或其授权代表签字或盖章。</w:t>
            </w:r>
          </w:p>
        </w:tc>
        <w:tc>
          <w:tcPr>
            <w:tcW w:w="131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ascii="仿宋" w:hAnsi="仿宋" w:eastAsia="仿宋" w:cs="仿宋"/>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报价</w:t>
            </w:r>
          </w:p>
        </w:tc>
        <w:tc>
          <w:tcPr>
            <w:tcW w:w="5401"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ascii="仿宋" w:hAnsi="仿宋" w:eastAsia="仿宋" w:cs="仿宋"/>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附加条件</w:t>
            </w:r>
          </w:p>
        </w:tc>
        <w:tc>
          <w:tcPr>
            <w:tcW w:w="5401"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ascii="仿宋" w:hAnsi="仿宋" w:eastAsia="仿宋" w:cs="仿宋"/>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公平竞争</w:t>
            </w:r>
          </w:p>
        </w:tc>
        <w:tc>
          <w:tcPr>
            <w:tcW w:w="5401"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弄虚作假、相互串通的情形见附注</w:t>
            </w:r>
          </w:p>
        </w:tc>
        <w:tc>
          <w:tcPr>
            <w:tcW w:w="131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ascii="仿宋" w:hAnsi="仿宋" w:eastAsia="仿宋" w:cs="仿宋"/>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其他无效情形</w:t>
            </w:r>
          </w:p>
        </w:tc>
        <w:tc>
          <w:tcPr>
            <w:tcW w:w="5401"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 w:hAnsi="仿宋" w:eastAsia="仿宋" w:cs="仿宋"/>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响应文件有效期</w:t>
            </w:r>
          </w:p>
        </w:tc>
        <w:tc>
          <w:tcPr>
            <w:tcW w:w="5401"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有效期满足磋商文件要求的；</w:t>
            </w:r>
          </w:p>
        </w:tc>
        <w:tc>
          <w:tcPr>
            <w:tcW w:w="131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 w:hAnsi="仿宋" w:eastAsia="仿宋" w:cs="仿宋"/>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备选方案</w:t>
            </w:r>
          </w:p>
        </w:tc>
        <w:tc>
          <w:tcPr>
            <w:tcW w:w="5401" w:type="dxa"/>
            <w:vAlign w:val="center"/>
          </w:tcPr>
          <w:p>
            <w:pPr>
              <w:tabs>
                <w:tab w:val="left" w:pos="1260"/>
                <w:tab w:val="left" w:pos="1620"/>
              </w:tabs>
              <w:adjustRightInd w:val="0"/>
              <w:snapToGrid w:val="0"/>
              <w:textAlignment w:val="baseline"/>
              <w:rPr>
                <w:rFonts w:ascii="仿宋" w:hAnsi="仿宋" w:eastAsia="仿宋" w:cs="仿宋"/>
                <w:strike/>
                <w:color w:val="auto"/>
                <w:szCs w:val="21"/>
                <w:highlight w:val="none"/>
              </w:rPr>
            </w:pPr>
            <w:r>
              <w:rPr>
                <w:rFonts w:hint="eastAsia" w:ascii="仿宋" w:hAnsi="仿宋" w:eastAsia="仿宋" w:cs="仿宋"/>
                <w:color w:val="auto"/>
                <w:szCs w:val="21"/>
                <w:highlight w:val="none"/>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 w:hAnsi="仿宋" w:eastAsia="仿宋" w:cs="仿宋"/>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响应文件内容</w:t>
            </w:r>
          </w:p>
        </w:tc>
        <w:tc>
          <w:tcPr>
            <w:tcW w:w="5401" w:type="dxa"/>
            <w:shd w:val="clear" w:color="auto" w:fill="auto"/>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供应商提供的货物或服务无实质性遗漏；</w:t>
            </w:r>
          </w:p>
        </w:tc>
        <w:tc>
          <w:tcPr>
            <w:tcW w:w="131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 w:hAnsi="仿宋" w:eastAsia="仿宋" w:cs="仿宋"/>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技术响应</w:t>
            </w:r>
          </w:p>
        </w:tc>
        <w:tc>
          <w:tcPr>
            <w:tcW w:w="5401" w:type="dxa"/>
            <w:shd w:val="clear" w:color="auto" w:fill="auto"/>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符合“采购内容及要求”要求，无重大偏离；</w:t>
            </w:r>
          </w:p>
        </w:tc>
        <w:tc>
          <w:tcPr>
            <w:tcW w:w="131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 w:hAnsi="仿宋" w:eastAsia="仿宋" w:cs="仿宋"/>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履行期限</w:t>
            </w:r>
          </w:p>
        </w:tc>
        <w:tc>
          <w:tcPr>
            <w:tcW w:w="5401"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满足磋商文件要求；</w:t>
            </w:r>
          </w:p>
        </w:tc>
        <w:tc>
          <w:tcPr>
            <w:tcW w:w="131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 w:hAnsi="仿宋" w:eastAsia="仿宋" w:cs="仿宋"/>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付款方式</w:t>
            </w:r>
          </w:p>
        </w:tc>
        <w:tc>
          <w:tcPr>
            <w:tcW w:w="5401"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磋商文件不允许付款方式有偏差，供应商须完全响应。</w:t>
            </w:r>
          </w:p>
        </w:tc>
        <w:tc>
          <w:tcPr>
            <w:tcW w:w="131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r>
              <w:rPr>
                <w:rFonts w:hint="eastAsia" w:ascii="仿宋" w:hAnsi="仿宋" w:eastAsia="仿宋" w:cs="仿宋"/>
                <w:b/>
                <w:color w:val="auto"/>
                <w:szCs w:val="21"/>
                <w:highlight w:val="none"/>
              </w:rPr>
              <w:t>结论（合格或不合格）</w:t>
            </w:r>
          </w:p>
        </w:tc>
        <w:tc>
          <w:tcPr>
            <w:tcW w:w="5401"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p>
        </w:tc>
        <w:tc>
          <w:tcPr>
            <w:tcW w:w="1313" w:type="dxa"/>
            <w:vAlign w:val="center"/>
          </w:tcPr>
          <w:p>
            <w:pPr>
              <w:tabs>
                <w:tab w:val="left" w:pos="1260"/>
                <w:tab w:val="left" w:pos="1620"/>
              </w:tabs>
              <w:adjustRightInd w:val="0"/>
              <w:snapToGrid w:val="0"/>
              <w:textAlignment w:val="baseline"/>
              <w:rPr>
                <w:rFonts w:ascii="仿宋" w:hAnsi="仿宋" w:eastAsia="仿宋" w:cs="仿宋"/>
                <w:color w:val="auto"/>
                <w:szCs w:val="21"/>
                <w:highlight w:val="none"/>
              </w:rPr>
            </w:pPr>
          </w:p>
        </w:tc>
      </w:tr>
    </w:tbl>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2、有下列情形之一的，视为供应商相互串通：</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（1）不同供应商的响应文件由同一单位或者个人编制；</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（2）不同供应商委托同一单位或者个人办理参与磋商事宜；</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（4）不同供应商的响应文件异常一致或者报价呈规律性差异；</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（5）不同供应商的响应文件相互混装；</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（6）不同供应商的磋商保证金从同一单位或者个人的账户转出。</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3、有下列情形之一的，属于提供虚假材料谋取成交的行为：</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（1）使用伪造、变造的许可证件；</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（2）提供虚假的财务状况或者业绩；</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（3）提供虚假的项目负责人或者主要技术人员简历、劳动关系证明；</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（4）提供虚假的信用状况；</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t>（5）其他弄虚作假的行为。</w:t>
      </w: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p>
    <w:p>
      <w:pPr>
        <w:tabs>
          <w:tab w:val="left" w:pos="1260"/>
          <w:tab w:val="left" w:pos="1620"/>
        </w:tabs>
        <w:adjustRightInd w:val="0"/>
        <w:spacing w:line="360" w:lineRule="auto"/>
        <w:jc w:val="left"/>
        <w:textAlignment w:val="baseline"/>
        <w:rPr>
          <w:rFonts w:ascii="仿宋" w:hAnsi="仿宋" w:eastAsia="仿宋" w:cs="仿宋"/>
          <w:b/>
          <w:color w:val="auto"/>
          <w:szCs w:val="21"/>
          <w:highlight w:val="none"/>
        </w:rPr>
      </w:pPr>
      <w:r>
        <w:rPr>
          <w:rFonts w:hint="eastAsia" w:ascii="仿宋" w:hAnsi="仿宋" w:eastAsia="仿宋" w:cs="仿宋"/>
          <w:b/>
          <w:color w:val="auto"/>
          <w:szCs w:val="21"/>
          <w:highlight w:val="none"/>
        </w:rPr>
        <w:br w:type="page"/>
      </w:r>
    </w:p>
    <w:p>
      <w:pPr>
        <w:jc w:val="center"/>
        <w:rPr>
          <w:rFonts w:ascii="仿宋" w:hAnsi="仿宋" w:eastAsia="仿宋" w:cs="仿宋"/>
          <w:b/>
          <w:color w:val="auto"/>
          <w:sz w:val="30"/>
          <w:szCs w:val="30"/>
          <w:highlight w:val="none"/>
        </w:rPr>
      </w:pPr>
      <w:bookmarkStart w:id="419" w:name="_Toc414446034"/>
      <w:bookmarkStart w:id="420" w:name="_Toc410631198"/>
      <w:bookmarkStart w:id="421" w:name="_Toc7005048"/>
      <w:r>
        <w:rPr>
          <w:rFonts w:hint="eastAsia" w:ascii="仿宋" w:hAnsi="仿宋" w:eastAsia="仿宋" w:cs="仿宋"/>
          <w:b/>
          <w:color w:val="auto"/>
          <w:sz w:val="30"/>
          <w:szCs w:val="30"/>
          <w:highlight w:val="none"/>
        </w:rPr>
        <w:t>附表三 评审因素及分值分配表</w:t>
      </w:r>
      <w:bookmarkEnd w:id="419"/>
      <w:bookmarkEnd w:id="420"/>
      <w:bookmarkEnd w:id="421"/>
    </w:p>
    <w:tbl>
      <w:tblPr>
        <w:tblStyle w:val="5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317"/>
        <w:gridCol w:w="1317"/>
        <w:gridCol w:w="4895"/>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50" w:type="pct"/>
            <w:noWrap w:val="0"/>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序号</w:t>
            </w:r>
          </w:p>
        </w:tc>
        <w:tc>
          <w:tcPr>
            <w:tcW w:w="720" w:type="pct"/>
            <w:noWrap w:val="0"/>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评审项目</w:t>
            </w:r>
          </w:p>
        </w:tc>
        <w:tc>
          <w:tcPr>
            <w:tcW w:w="720" w:type="pct"/>
            <w:noWrap w:val="0"/>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评审内容</w:t>
            </w:r>
          </w:p>
        </w:tc>
        <w:tc>
          <w:tcPr>
            <w:tcW w:w="2675" w:type="pct"/>
            <w:noWrap w:val="0"/>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评  审  标  准</w:t>
            </w:r>
          </w:p>
        </w:tc>
        <w:tc>
          <w:tcPr>
            <w:tcW w:w="533" w:type="pct"/>
            <w:noWrap w:val="0"/>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350" w:type="pct"/>
            <w:noWrap w:val="0"/>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720" w:type="pct"/>
            <w:noWrap w:val="0"/>
            <w:vAlign w:val="center"/>
          </w:tcPr>
          <w:p>
            <w:pPr>
              <w:jc w:val="center"/>
              <w:rPr>
                <w:rFonts w:hint="eastAsia" w:ascii="仿宋_GB2312" w:hAnsi="仿宋_GB2312" w:eastAsia="仿宋_GB2312" w:cs="仿宋_GB2312"/>
                <w:bCs/>
                <w:color w:val="auto"/>
                <w:sz w:val="21"/>
                <w:szCs w:val="21"/>
                <w:highlight w:val="none"/>
              </w:rPr>
            </w:pPr>
            <w:r>
              <w:rPr>
                <w:rFonts w:hint="eastAsia" w:ascii="仿宋_GB2312" w:hAnsi="仿宋_GB2312" w:eastAsia="仿宋_GB2312" w:cs="仿宋_GB2312"/>
                <w:bCs/>
                <w:color w:val="auto"/>
                <w:sz w:val="21"/>
                <w:szCs w:val="21"/>
                <w:highlight w:val="none"/>
              </w:rPr>
              <w:t>商务</w:t>
            </w:r>
          </w:p>
          <w:p>
            <w:pPr>
              <w:jc w:val="center"/>
              <w:rPr>
                <w:rFonts w:hint="eastAsia" w:ascii="仿宋_GB2312" w:hAnsi="仿宋_GB2312" w:eastAsia="仿宋_GB2312" w:cs="仿宋_GB2312"/>
                <w:bCs/>
                <w:color w:val="auto"/>
                <w:sz w:val="21"/>
                <w:szCs w:val="21"/>
                <w:highlight w:val="none"/>
              </w:rPr>
            </w:pPr>
            <w:r>
              <w:rPr>
                <w:rFonts w:hint="eastAsia" w:ascii="仿宋_GB2312" w:hAnsi="仿宋_GB2312" w:eastAsia="仿宋_GB2312" w:cs="仿宋_GB2312"/>
                <w:bCs/>
                <w:color w:val="auto"/>
                <w:sz w:val="21"/>
                <w:szCs w:val="21"/>
                <w:highlight w:val="none"/>
              </w:rPr>
              <w:t>（</w:t>
            </w:r>
            <w:r>
              <w:rPr>
                <w:rFonts w:hint="eastAsia" w:ascii="仿宋_GB2312" w:hAnsi="仿宋_GB2312" w:eastAsia="仿宋_GB2312" w:cs="仿宋_GB2312"/>
                <w:bCs/>
                <w:color w:val="auto"/>
                <w:sz w:val="21"/>
                <w:szCs w:val="21"/>
                <w:highlight w:val="none"/>
                <w:lang w:val="en-US" w:eastAsia="zh-CN"/>
              </w:rPr>
              <w:t>10</w:t>
            </w:r>
            <w:r>
              <w:rPr>
                <w:rFonts w:hint="eastAsia" w:ascii="仿宋_GB2312" w:hAnsi="仿宋_GB2312" w:eastAsia="仿宋_GB2312" w:cs="仿宋_GB2312"/>
                <w:bCs/>
                <w:color w:val="auto"/>
                <w:sz w:val="21"/>
                <w:szCs w:val="21"/>
                <w:highlight w:val="none"/>
              </w:rPr>
              <w:t>分）</w:t>
            </w:r>
          </w:p>
        </w:tc>
        <w:tc>
          <w:tcPr>
            <w:tcW w:w="720" w:type="pct"/>
            <w:noWrap w:val="0"/>
            <w:vAlign w:val="center"/>
          </w:tcPr>
          <w:p>
            <w:pPr>
              <w:jc w:val="center"/>
              <w:rPr>
                <w:rFonts w:hint="eastAsia" w:ascii="仿宋_GB2312" w:hAnsi="仿宋_GB2312" w:eastAsia="仿宋_GB2312" w:cs="仿宋_GB2312"/>
                <w:bCs/>
                <w:color w:val="auto"/>
                <w:sz w:val="21"/>
                <w:szCs w:val="21"/>
                <w:highlight w:val="none"/>
              </w:rPr>
            </w:pPr>
            <w:r>
              <w:rPr>
                <w:rFonts w:hint="eastAsia" w:ascii="仿宋_GB2312" w:hAnsi="仿宋_GB2312" w:eastAsia="仿宋_GB2312" w:cs="仿宋_GB2312"/>
                <w:bCs/>
                <w:color w:val="auto"/>
                <w:sz w:val="21"/>
                <w:szCs w:val="21"/>
                <w:highlight w:val="none"/>
              </w:rPr>
              <w:t>业绩</w:t>
            </w:r>
          </w:p>
        </w:tc>
        <w:tc>
          <w:tcPr>
            <w:tcW w:w="2675" w:type="pct"/>
            <w:noWrap w:val="0"/>
            <w:vAlign w:val="center"/>
          </w:tcPr>
          <w:p>
            <w:pPr>
              <w:jc w:val="both"/>
              <w:rPr>
                <w:rFonts w:hint="eastAsia" w:ascii="仿宋_GB2312" w:hAnsi="仿宋_GB2312" w:eastAsia="仿宋_GB2312" w:cs="仿宋_GB2312"/>
                <w:iCs/>
                <w:color w:val="auto"/>
                <w:sz w:val="21"/>
                <w:szCs w:val="21"/>
                <w:highlight w:val="none"/>
              </w:rPr>
            </w:pPr>
            <w:r>
              <w:rPr>
                <w:rFonts w:hint="eastAsia" w:ascii="仿宋_GB2312" w:hAnsi="仿宋_GB2312" w:eastAsia="仿宋_GB2312" w:cs="仿宋_GB2312"/>
                <w:iCs/>
                <w:color w:val="auto"/>
                <w:sz w:val="21"/>
                <w:szCs w:val="21"/>
                <w:highlight w:val="none"/>
              </w:rPr>
              <w:t>供应商提供自201</w:t>
            </w:r>
            <w:r>
              <w:rPr>
                <w:rFonts w:hint="eastAsia" w:ascii="仿宋_GB2312" w:hAnsi="仿宋_GB2312" w:eastAsia="仿宋_GB2312" w:cs="仿宋_GB2312"/>
                <w:iCs/>
                <w:color w:val="auto"/>
                <w:sz w:val="21"/>
                <w:szCs w:val="21"/>
                <w:highlight w:val="none"/>
                <w:lang w:val="en-US" w:eastAsia="zh-CN"/>
              </w:rPr>
              <w:t>9</w:t>
            </w:r>
            <w:r>
              <w:rPr>
                <w:rFonts w:hint="eastAsia" w:ascii="仿宋_GB2312" w:hAnsi="仿宋_GB2312" w:eastAsia="仿宋_GB2312" w:cs="仿宋_GB2312"/>
                <w:iCs/>
                <w:color w:val="auto"/>
                <w:sz w:val="21"/>
                <w:szCs w:val="21"/>
                <w:highlight w:val="none"/>
              </w:rPr>
              <w:t>年1月1日至今承担过的类似项目业绩，每个业绩得</w:t>
            </w:r>
            <w:r>
              <w:rPr>
                <w:rFonts w:hint="eastAsia" w:ascii="仿宋_GB2312" w:hAnsi="仿宋_GB2312" w:eastAsia="仿宋_GB2312" w:cs="仿宋_GB2312"/>
                <w:iCs/>
                <w:color w:val="auto"/>
                <w:sz w:val="21"/>
                <w:szCs w:val="21"/>
                <w:highlight w:val="none"/>
                <w:lang w:val="en-US" w:eastAsia="zh-CN"/>
              </w:rPr>
              <w:t>2</w:t>
            </w:r>
            <w:r>
              <w:rPr>
                <w:rFonts w:hint="eastAsia" w:ascii="仿宋_GB2312" w:hAnsi="仿宋_GB2312" w:eastAsia="仿宋_GB2312" w:cs="仿宋_GB2312"/>
                <w:iCs/>
                <w:color w:val="auto"/>
                <w:sz w:val="21"/>
                <w:szCs w:val="21"/>
                <w:highlight w:val="none"/>
              </w:rPr>
              <w:t>分，最高得</w:t>
            </w:r>
            <w:r>
              <w:rPr>
                <w:rFonts w:hint="eastAsia" w:ascii="仿宋_GB2312" w:hAnsi="仿宋_GB2312" w:eastAsia="仿宋_GB2312" w:cs="仿宋_GB2312"/>
                <w:iCs/>
                <w:color w:val="auto"/>
                <w:sz w:val="21"/>
                <w:szCs w:val="21"/>
                <w:highlight w:val="none"/>
                <w:lang w:val="en-US" w:eastAsia="zh-CN"/>
              </w:rPr>
              <w:t>10</w:t>
            </w:r>
            <w:r>
              <w:rPr>
                <w:rFonts w:hint="eastAsia" w:ascii="仿宋_GB2312" w:hAnsi="仿宋_GB2312" w:eastAsia="仿宋_GB2312" w:cs="仿宋_GB2312"/>
                <w:iCs/>
                <w:color w:val="auto"/>
                <w:sz w:val="21"/>
                <w:szCs w:val="21"/>
                <w:highlight w:val="none"/>
              </w:rPr>
              <w:t>分。（提供合同复印件</w:t>
            </w:r>
            <w:r>
              <w:rPr>
                <w:rFonts w:hint="eastAsia" w:ascii="仿宋_GB2312" w:hAnsi="仿宋_GB2312" w:eastAsia="仿宋_GB2312" w:cs="仿宋_GB2312"/>
                <w:iCs/>
                <w:color w:val="auto"/>
                <w:sz w:val="21"/>
                <w:szCs w:val="21"/>
                <w:highlight w:val="none"/>
                <w:lang w:eastAsia="zh-CN"/>
              </w:rPr>
              <w:t>，</w:t>
            </w:r>
            <w:r>
              <w:rPr>
                <w:rFonts w:hint="eastAsia" w:ascii="仿宋_GB2312" w:hAnsi="仿宋_GB2312" w:eastAsia="仿宋_GB2312" w:cs="仿宋_GB2312"/>
                <w:iCs/>
                <w:color w:val="auto"/>
                <w:sz w:val="21"/>
                <w:szCs w:val="21"/>
                <w:highlight w:val="none"/>
                <w:lang w:val="en-US" w:eastAsia="zh-CN"/>
              </w:rPr>
              <w:t>时间以合同签订时间为准</w:t>
            </w:r>
            <w:r>
              <w:rPr>
                <w:rFonts w:hint="eastAsia" w:ascii="仿宋_GB2312" w:hAnsi="仿宋_GB2312" w:eastAsia="仿宋_GB2312" w:cs="仿宋_GB2312"/>
                <w:iCs/>
                <w:color w:val="auto"/>
                <w:sz w:val="21"/>
                <w:szCs w:val="21"/>
                <w:highlight w:val="none"/>
              </w:rPr>
              <w:t>）。</w:t>
            </w:r>
          </w:p>
        </w:tc>
        <w:tc>
          <w:tcPr>
            <w:tcW w:w="533" w:type="pct"/>
            <w:noWrap w:val="0"/>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10</w:t>
            </w:r>
            <w:r>
              <w:rPr>
                <w:rFonts w:hint="eastAsia" w:ascii="仿宋_GB2312" w:hAnsi="仿宋_GB2312" w:eastAsia="仿宋_GB2312" w:cs="仿宋_GB2312"/>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5" w:hRule="atLeast"/>
          <w:jc w:val="center"/>
        </w:trPr>
        <w:tc>
          <w:tcPr>
            <w:tcW w:w="350" w:type="pct"/>
            <w:noWrap w:val="0"/>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720" w:type="pct"/>
            <w:vMerge w:val="restart"/>
            <w:noWrap w:val="0"/>
            <w:vAlign w:val="center"/>
          </w:tcPr>
          <w:p>
            <w:pPr>
              <w:jc w:val="center"/>
              <w:rPr>
                <w:rFonts w:hint="eastAsia" w:ascii="仿宋_GB2312" w:hAnsi="仿宋_GB2312" w:eastAsia="仿宋_GB2312" w:cs="仿宋_GB2312"/>
                <w:bCs/>
                <w:color w:val="auto"/>
                <w:sz w:val="21"/>
                <w:szCs w:val="21"/>
                <w:highlight w:val="none"/>
              </w:rPr>
            </w:pPr>
            <w:r>
              <w:rPr>
                <w:rFonts w:hint="eastAsia" w:ascii="仿宋_GB2312" w:hAnsi="仿宋_GB2312" w:eastAsia="仿宋_GB2312" w:cs="仿宋_GB2312"/>
                <w:bCs/>
                <w:color w:val="auto"/>
                <w:sz w:val="21"/>
                <w:szCs w:val="21"/>
                <w:highlight w:val="none"/>
              </w:rPr>
              <w:t>技术</w:t>
            </w:r>
          </w:p>
          <w:p>
            <w:pPr>
              <w:jc w:val="center"/>
              <w:rPr>
                <w:rFonts w:hint="eastAsia" w:ascii="仿宋_GB2312" w:hAnsi="仿宋_GB2312" w:eastAsia="仿宋_GB2312" w:cs="仿宋_GB2312"/>
                <w:bCs/>
                <w:color w:val="auto"/>
                <w:sz w:val="21"/>
                <w:szCs w:val="21"/>
                <w:highlight w:val="none"/>
              </w:rPr>
            </w:pPr>
            <w:r>
              <w:rPr>
                <w:rFonts w:hint="eastAsia" w:ascii="仿宋_GB2312" w:hAnsi="仿宋_GB2312" w:eastAsia="仿宋_GB2312" w:cs="仿宋_GB2312"/>
                <w:bCs/>
                <w:color w:val="auto"/>
                <w:sz w:val="21"/>
                <w:szCs w:val="21"/>
                <w:highlight w:val="none"/>
              </w:rPr>
              <w:t>（</w:t>
            </w:r>
            <w:r>
              <w:rPr>
                <w:rFonts w:hint="eastAsia" w:ascii="仿宋_GB2312" w:hAnsi="仿宋_GB2312" w:eastAsia="仿宋_GB2312" w:cs="仿宋_GB2312"/>
                <w:bCs/>
                <w:color w:val="auto"/>
                <w:sz w:val="21"/>
                <w:szCs w:val="21"/>
                <w:highlight w:val="none"/>
                <w:lang w:val="en-US" w:eastAsia="zh-CN"/>
              </w:rPr>
              <w:t>80</w:t>
            </w:r>
            <w:r>
              <w:rPr>
                <w:rFonts w:hint="eastAsia" w:ascii="仿宋_GB2312" w:hAnsi="仿宋_GB2312" w:eastAsia="仿宋_GB2312" w:cs="仿宋_GB2312"/>
                <w:bCs/>
                <w:color w:val="auto"/>
                <w:sz w:val="21"/>
                <w:szCs w:val="21"/>
                <w:highlight w:val="none"/>
              </w:rPr>
              <w:t>分）</w:t>
            </w:r>
          </w:p>
        </w:tc>
        <w:tc>
          <w:tcPr>
            <w:tcW w:w="720" w:type="pct"/>
            <w:noWrap w:val="0"/>
            <w:vAlign w:val="center"/>
          </w:tcPr>
          <w:p>
            <w:pPr>
              <w:snapToGrid w:val="0"/>
              <w:jc w:val="center"/>
              <w:rPr>
                <w:rFonts w:hint="eastAsia" w:ascii="仿宋_GB2312" w:hAnsi="仿宋_GB2312" w:eastAsia="仿宋_GB2312" w:cs="仿宋_GB2312"/>
                <w:iCs/>
                <w:color w:val="auto"/>
                <w:kern w:val="0"/>
                <w:sz w:val="21"/>
                <w:szCs w:val="21"/>
                <w:highlight w:val="none"/>
                <w:lang w:val="en-US" w:eastAsia="zh-CN"/>
              </w:rPr>
            </w:pPr>
            <w:r>
              <w:rPr>
                <w:rFonts w:hint="eastAsia" w:ascii="仿宋_GB2312" w:hAnsi="仿宋_GB2312" w:eastAsia="仿宋_GB2312" w:cs="仿宋_GB2312"/>
                <w:iCs/>
                <w:color w:val="auto"/>
                <w:kern w:val="0"/>
                <w:sz w:val="21"/>
                <w:szCs w:val="21"/>
                <w:highlight w:val="none"/>
                <w:lang w:val="en-US" w:eastAsia="zh-CN"/>
              </w:rPr>
              <w:t>实施方案</w:t>
            </w:r>
          </w:p>
        </w:tc>
        <w:tc>
          <w:tcPr>
            <w:tcW w:w="2675" w:type="pct"/>
            <w:noWrap w:val="0"/>
            <w:vAlign w:val="center"/>
          </w:tcPr>
          <w:p>
            <w:pPr>
              <w:jc w:val="both"/>
              <w:rPr>
                <w:rFonts w:hint="eastAsia" w:ascii="仿宋_GB2312" w:hAnsi="仿宋_GB2312" w:eastAsia="仿宋_GB2312" w:cs="仿宋_GB2312"/>
                <w:iCs/>
                <w:color w:val="auto"/>
                <w:sz w:val="21"/>
                <w:szCs w:val="21"/>
                <w:highlight w:val="none"/>
                <w:lang w:val="en-US" w:eastAsia="zh-CN"/>
              </w:rPr>
            </w:pPr>
            <w:r>
              <w:rPr>
                <w:rFonts w:hint="eastAsia" w:ascii="仿宋_GB2312" w:hAnsi="仿宋_GB2312" w:eastAsia="仿宋_GB2312" w:cs="仿宋_GB2312"/>
                <w:iCs/>
                <w:color w:val="auto"/>
                <w:sz w:val="21"/>
                <w:szCs w:val="21"/>
                <w:highlight w:val="none"/>
                <w:lang w:val="en-US" w:eastAsia="zh-CN"/>
              </w:rPr>
              <w:t>1、组织体系：公司整体架构完整、齐全，具有规范和完善的检测鉴定业务质量控制制度、风险控制制度及健全的内部管理制度得(8-12]分，相关架构有所欠缺，制度较完善得(4-8]分，组织体系整体一般得[0-4]分；</w:t>
            </w:r>
          </w:p>
          <w:p>
            <w:pPr>
              <w:jc w:val="both"/>
              <w:rPr>
                <w:rFonts w:hint="eastAsia" w:ascii="仿宋_GB2312" w:hAnsi="仿宋_GB2312" w:eastAsia="仿宋_GB2312" w:cs="仿宋_GB2312"/>
                <w:iCs/>
                <w:color w:val="auto"/>
                <w:sz w:val="21"/>
                <w:szCs w:val="21"/>
                <w:highlight w:val="none"/>
                <w:lang w:val="en-US" w:eastAsia="zh-CN"/>
              </w:rPr>
            </w:pPr>
            <w:r>
              <w:rPr>
                <w:rFonts w:hint="eastAsia" w:ascii="仿宋_GB2312" w:hAnsi="仿宋_GB2312" w:eastAsia="仿宋_GB2312" w:cs="仿宋_GB2312"/>
                <w:iCs/>
                <w:color w:val="auto"/>
                <w:sz w:val="21"/>
                <w:szCs w:val="21"/>
                <w:highlight w:val="none"/>
                <w:lang w:val="en-US" w:eastAsia="zh-CN"/>
              </w:rPr>
              <w:t>2、技术支持体系：公司整体技术支持体系的完善性，具备相应的办公、服务条件，能满足项目要求，根据响应程度计0-5 分；</w:t>
            </w:r>
          </w:p>
          <w:p>
            <w:pPr>
              <w:jc w:val="both"/>
              <w:rPr>
                <w:rFonts w:hint="eastAsia" w:ascii="仿宋_GB2312" w:hAnsi="仿宋_GB2312" w:eastAsia="仿宋_GB2312" w:cs="仿宋_GB2312"/>
                <w:iCs/>
                <w:color w:val="auto"/>
                <w:sz w:val="21"/>
                <w:szCs w:val="21"/>
                <w:highlight w:val="none"/>
                <w:lang w:val="en-US" w:eastAsia="zh-CN"/>
              </w:rPr>
            </w:pPr>
            <w:r>
              <w:rPr>
                <w:rFonts w:hint="eastAsia" w:ascii="仿宋_GB2312" w:hAnsi="仿宋_GB2312" w:eastAsia="仿宋_GB2312" w:cs="仿宋_GB2312"/>
                <w:iCs/>
                <w:color w:val="auto"/>
                <w:sz w:val="21"/>
                <w:szCs w:val="21"/>
                <w:highlight w:val="none"/>
                <w:lang w:val="en-US" w:eastAsia="zh-CN"/>
              </w:rPr>
              <w:t>3、实施方案：在实施项目时,分工明确，流程完整、合理，风险控制措施得当，能保证项目顺利实施得(9-15]分，方案较完善得(4-9]分，方案简单、可能影响项目实施得[0-4]分；</w:t>
            </w:r>
          </w:p>
          <w:p>
            <w:pPr>
              <w:jc w:val="both"/>
              <w:rPr>
                <w:rFonts w:hint="eastAsia" w:ascii="仿宋_GB2312" w:hAnsi="仿宋_GB2312" w:eastAsia="仿宋_GB2312" w:cs="仿宋_GB2312"/>
                <w:iCs/>
                <w:color w:val="auto"/>
                <w:sz w:val="21"/>
                <w:szCs w:val="21"/>
                <w:highlight w:val="none"/>
                <w:lang w:val="en-US" w:eastAsia="zh-CN"/>
              </w:rPr>
            </w:pPr>
            <w:r>
              <w:rPr>
                <w:rFonts w:hint="eastAsia" w:ascii="仿宋_GB2312" w:hAnsi="仿宋_GB2312" w:eastAsia="仿宋_GB2312" w:cs="仿宋_GB2312"/>
                <w:iCs/>
                <w:color w:val="auto"/>
                <w:sz w:val="21"/>
                <w:szCs w:val="21"/>
                <w:highlight w:val="none"/>
                <w:lang w:val="en-US" w:eastAsia="zh-CN"/>
              </w:rPr>
              <w:t>4、重、难点分析：对项目重点、难点等关键技术问题的认识、分析及解决方案，重点突出、难点分析到位、解决方案合理且针对性强得（5-8分］，重点较突出、难点分析基本到位，解决方案较合理，针对性一般得（3-5分］，重点不突出、难点分析差，解决方案粗略有缺漏且针对性差得（0-3分］。</w:t>
            </w:r>
          </w:p>
        </w:tc>
        <w:tc>
          <w:tcPr>
            <w:tcW w:w="533" w:type="pct"/>
            <w:noWrap w:val="0"/>
            <w:vAlign w:val="center"/>
          </w:tcPr>
          <w:p>
            <w:pPr>
              <w:snapToGrid w:val="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40</w:t>
            </w:r>
            <w:r>
              <w:rPr>
                <w:rFonts w:hint="eastAsia" w:ascii="仿宋_GB2312" w:hAnsi="仿宋_GB2312" w:eastAsia="仿宋_GB2312" w:cs="仿宋_GB2312"/>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350" w:type="pct"/>
            <w:noWrap w:val="0"/>
            <w:vAlign w:val="center"/>
          </w:tcPr>
          <w:p>
            <w:pPr>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w:t>
            </w:r>
          </w:p>
        </w:tc>
        <w:tc>
          <w:tcPr>
            <w:tcW w:w="720" w:type="pct"/>
            <w:vMerge w:val="continue"/>
            <w:noWrap w:val="0"/>
            <w:vAlign w:val="center"/>
          </w:tcPr>
          <w:p>
            <w:pPr>
              <w:jc w:val="center"/>
              <w:rPr>
                <w:rFonts w:hint="eastAsia" w:ascii="仿宋_GB2312" w:hAnsi="仿宋_GB2312" w:eastAsia="仿宋_GB2312" w:cs="仿宋_GB2312"/>
                <w:bCs/>
                <w:color w:val="auto"/>
                <w:sz w:val="21"/>
                <w:szCs w:val="21"/>
                <w:highlight w:val="none"/>
              </w:rPr>
            </w:pPr>
          </w:p>
        </w:tc>
        <w:tc>
          <w:tcPr>
            <w:tcW w:w="720" w:type="pct"/>
            <w:noWrap w:val="0"/>
            <w:vAlign w:val="center"/>
          </w:tcPr>
          <w:p>
            <w:pPr>
              <w:snapToGrid w:val="0"/>
              <w:jc w:val="center"/>
              <w:rPr>
                <w:rFonts w:hint="eastAsia" w:ascii="仿宋_GB2312" w:hAnsi="仿宋_GB2312" w:eastAsia="仿宋_GB2312" w:cs="仿宋_GB2312"/>
                <w:iCs/>
                <w:color w:val="auto"/>
                <w:kern w:val="0"/>
                <w:sz w:val="21"/>
                <w:szCs w:val="21"/>
                <w:highlight w:val="none"/>
                <w:lang w:val="en-US" w:eastAsia="zh-CN"/>
              </w:rPr>
            </w:pPr>
            <w:r>
              <w:rPr>
                <w:rFonts w:hint="eastAsia" w:ascii="仿宋_GB2312" w:hAnsi="仿宋_GB2312" w:eastAsia="仿宋_GB2312" w:cs="仿宋_GB2312"/>
                <w:iCs/>
                <w:color w:val="auto"/>
                <w:kern w:val="0"/>
                <w:sz w:val="21"/>
                <w:szCs w:val="21"/>
                <w:highlight w:val="none"/>
                <w:lang w:val="en-US" w:eastAsia="zh-CN"/>
              </w:rPr>
              <w:t>保障措施</w:t>
            </w:r>
          </w:p>
        </w:tc>
        <w:tc>
          <w:tcPr>
            <w:tcW w:w="2675" w:type="pct"/>
            <w:noWrap w:val="0"/>
            <w:vAlign w:val="center"/>
          </w:tcPr>
          <w:p>
            <w:pPr>
              <w:jc w:val="both"/>
              <w:rPr>
                <w:rFonts w:hint="eastAsia" w:ascii="仿宋_GB2312" w:hAnsi="仿宋_GB2312" w:eastAsia="仿宋_GB2312" w:cs="仿宋_GB2312"/>
                <w:iCs/>
                <w:color w:val="auto"/>
                <w:sz w:val="21"/>
                <w:szCs w:val="21"/>
                <w:highlight w:val="none"/>
                <w:lang w:val="en-US" w:eastAsia="zh-CN"/>
              </w:rPr>
            </w:pPr>
            <w:r>
              <w:rPr>
                <w:rFonts w:hint="eastAsia" w:ascii="仿宋_GB2312" w:hAnsi="仿宋_GB2312" w:eastAsia="仿宋_GB2312" w:cs="仿宋_GB2312"/>
                <w:iCs/>
                <w:color w:val="auto"/>
                <w:sz w:val="21"/>
                <w:szCs w:val="21"/>
                <w:highlight w:val="none"/>
                <w:lang w:val="en-US" w:eastAsia="zh-CN"/>
              </w:rPr>
              <w:t>1、结合本项目实际情况，制定详细完整的服务质量保证措施，能确保检测鉴定质量，根据响应程度计 0-5分。</w:t>
            </w:r>
          </w:p>
          <w:p>
            <w:pPr>
              <w:jc w:val="both"/>
              <w:rPr>
                <w:rFonts w:hint="eastAsia" w:ascii="仿宋_GB2312" w:hAnsi="仿宋_GB2312" w:eastAsia="仿宋_GB2312" w:cs="仿宋_GB2312"/>
                <w:iCs/>
                <w:color w:val="auto"/>
                <w:sz w:val="21"/>
                <w:szCs w:val="21"/>
                <w:highlight w:val="none"/>
                <w:lang w:val="en-US" w:eastAsia="zh-CN"/>
              </w:rPr>
            </w:pPr>
            <w:r>
              <w:rPr>
                <w:rFonts w:hint="eastAsia" w:ascii="仿宋_GB2312" w:hAnsi="仿宋_GB2312" w:eastAsia="仿宋_GB2312" w:cs="仿宋_GB2312"/>
                <w:iCs/>
                <w:color w:val="auto"/>
                <w:sz w:val="21"/>
                <w:szCs w:val="21"/>
                <w:highlight w:val="none"/>
                <w:lang w:val="en-US" w:eastAsia="zh-CN"/>
              </w:rPr>
              <w:t>2、结合本项目实际情况，制定详细完整的进度</w:t>
            </w:r>
            <w:r>
              <w:rPr>
                <w:rFonts w:hint="eastAsia" w:ascii="仿宋_GB2312" w:hAnsi="仿宋_GB2312" w:eastAsia="仿宋_GB2312" w:cs="仿宋_GB2312"/>
                <w:iCs/>
                <w:color w:val="auto"/>
                <w:kern w:val="0"/>
                <w:sz w:val="21"/>
                <w:szCs w:val="21"/>
                <w:highlight w:val="none"/>
                <w:lang w:val="en-US" w:eastAsia="zh-CN"/>
              </w:rPr>
              <w:t>保障</w:t>
            </w:r>
            <w:r>
              <w:rPr>
                <w:rFonts w:hint="eastAsia" w:ascii="仿宋_GB2312" w:hAnsi="仿宋_GB2312" w:eastAsia="仿宋_GB2312" w:cs="仿宋_GB2312"/>
                <w:iCs/>
                <w:color w:val="auto"/>
                <w:sz w:val="21"/>
                <w:szCs w:val="21"/>
                <w:highlight w:val="none"/>
                <w:lang w:val="en-US" w:eastAsia="zh-CN"/>
              </w:rPr>
              <w:t>措施，根据响应程度计 0-5分。</w:t>
            </w:r>
          </w:p>
          <w:p>
            <w:pPr>
              <w:jc w:val="both"/>
              <w:rPr>
                <w:rFonts w:hint="default" w:ascii="仿宋_GB2312" w:hAnsi="仿宋_GB2312" w:eastAsia="仿宋_GB2312" w:cs="仿宋_GB2312"/>
                <w:iCs/>
                <w:color w:val="auto"/>
                <w:sz w:val="21"/>
                <w:szCs w:val="21"/>
                <w:highlight w:val="none"/>
                <w:lang w:val="en-US" w:eastAsia="zh-CN"/>
              </w:rPr>
            </w:pPr>
            <w:r>
              <w:rPr>
                <w:rFonts w:hint="eastAsia" w:ascii="仿宋_GB2312" w:hAnsi="仿宋_GB2312" w:eastAsia="仿宋_GB2312" w:cs="仿宋_GB2312"/>
                <w:iCs/>
                <w:color w:val="auto"/>
                <w:sz w:val="21"/>
                <w:szCs w:val="21"/>
                <w:highlight w:val="none"/>
                <w:lang w:val="en-US" w:eastAsia="zh-CN"/>
              </w:rPr>
              <w:t>3、结合本项目实际情况，制定详细完整的保密措施，全面保证采购人数据及相关信息不泄密，具有详细、完善的保密措施及保密承诺，根据响应程度计 0-5分。</w:t>
            </w:r>
          </w:p>
        </w:tc>
        <w:tc>
          <w:tcPr>
            <w:tcW w:w="533" w:type="pct"/>
            <w:noWrap w:val="0"/>
            <w:vAlign w:val="center"/>
          </w:tcPr>
          <w:p>
            <w:pPr>
              <w:snapToGrid w:val="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350" w:type="pct"/>
            <w:noWrap w:val="0"/>
            <w:vAlign w:val="center"/>
          </w:tcPr>
          <w:p>
            <w:pPr>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4</w:t>
            </w:r>
          </w:p>
        </w:tc>
        <w:tc>
          <w:tcPr>
            <w:tcW w:w="720" w:type="pct"/>
            <w:vMerge w:val="continue"/>
            <w:noWrap w:val="0"/>
            <w:vAlign w:val="center"/>
          </w:tcPr>
          <w:p>
            <w:pPr>
              <w:jc w:val="center"/>
              <w:rPr>
                <w:rFonts w:hint="eastAsia" w:ascii="仿宋_GB2312" w:hAnsi="仿宋_GB2312" w:eastAsia="仿宋_GB2312" w:cs="仿宋_GB2312"/>
                <w:bCs/>
                <w:color w:val="auto"/>
                <w:sz w:val="21"/>
                <w:szCs w:val="21"/>
                <w:highlight w:val="none"/>
              </w:rPr>
            </w:pPr>
          </w:p>
        </w:tc>
        <w:tc>
          <w:tcPr>
            <w:tcW w:w="720" w:type="pct"/>
            <w:noWrap w:val="0"/>
            <w:vAlign w:val="center"/>
          </w:tcPr>
          <w:p>
            <w:pPr>
              <w:snapToGrid w:val="0"/>
              <w:jc w:val="center"/>
              <w:rPr>
                <w:rFonts w:hint="eastAsia" w:ascii="仿宋_GB2312" w:hAnsi="仿宋_GB2312" w:eastAsia="仿宋_GB2312" w:cs="仿宋_GB2312"/>
                <w:iCs/>
                <w:color w:val="auto"/>
                <w:kern w:val="0"/>
                <w:sz w:val="21"/>
                <w:szCs w:val="21"/>
                <w:highlight w:val="none"/>
                <w:lang w:val="en-US" w:eastAsia="zh-CN"/>
              </w:rPr>
            </w:pPr>
            <w:r>
              <w:rPr>
                <w:rFonts w:hint="eastAsia" w:ascii="仿宋_GB2312" w:hAnsi="仿宋_GB2312" w:eastAsia="仿宋_GB2312" w:cs="仿宋_GB2312"/>
                <w:iCs/>
                <w:color w:val="auto"/>
                <w:kern w:val="0"/>
                <w:sz w:val="21"/>
                <w:szCs w:val="21"/>
                <w:highlight w:val="none"/>
                <w:lang w:val="en-US" w:eastAsia="zh-CN"/>
              </w:rPr>
              <w:t>人员配置 情况</w:t>
            </w:r>
          </w:p>
        </w:tc>
        <w:tc>
          <w:tcPr>
            <w:tcW w:w="2675" w:type="pct"/>
            <w:noWrap w:val="0"/>
            <w:vAlign w:val="center"/>
          </w:tcPr>
          <w:p>
            <w:pPr>
              <w:jc w:val="both"/>
              <w:rPr>
                <w:rFonts w:hint="eastAsia" w:ascii="仿宋_GB2312" w:hAnsi="仿宋_GB2312" w:eastAsia="仿宋_GB2312" w:cs="仿宋_GB2312"/>
                <w:iCs/>
                <w:color w:val="auto"/>
                <w:sz w:val="21"/>
                <w:szCs w:val="21"/>
                <w:highlight w:val="none"/>
                <w:lang w:val="en-US" w:eastAsia="zh-CN"/>
              </w:rPr>
            </w:pPr>
            <w:r>
              <w:rPr>
                <w:rFonts w:hint="eastAsia" w:ascii="仿宋_GB2312" w:hAnsi="仿宋_GB2312" w:eastAsia="仿宋_GB2312" w:cs="仿宋_GB2312"/>
                <w:iCs/>
                <w:color w:val="auto"/>
                <w:sz w:val="21"/>
                <w:szCs w:val="21"/>
                <w:highlight w:val="none"/>
                <w:lang w:val="en-US" w:eastAsia="zh-CN"/>
              </w:rPr>
              <w:t>1、供应商有针对本项目的专业服务团队，组织结构合理，人员分工明确满足要求、各专业配置齐全、工作经验丰富，按其响应程度计0-5 分。</w:t>
            </w:r>
          </w:p>
          <w:p>
            <w:pPr>
              <w:jc w:val="both"/>
              <w:rPr>
                <w:rFonts w:hint="eastAsia" w:ascii="仿宋_GB2312" w:hAnsi="仿宋_GB2312" w:eastAsia="仿宋_GB2312" w:cs="仿宋_GB2312"/>
                <w:iCs/>
                <w:color w:val="auto"/>
                <w:sz w:val="21"/>
                <w:szCs w:val="21"/>
                <w:highlight w:val="none"/>
                <w:lang w:val="en-US" w:eastAsia="zh-CN"/>
              </w:rPr>
            </w:pPr>
            <w:r>
              <w:rPr>
                <w:rFonts w:hint="eastAsia" w:ascii="仿宋_GB2312" w:hAnsi="仿宋_GB2312" w:eastAsia="仿宋_GB2312" w:cs="仿宋_GB2312"/>
                <w:iCs/>
                <w:color w:val="auto"/>
                <w:sz w:val="21"/>
                <w:szCs w:val="21"/>
                <w:highlight w:val="none"/>
                <w:lang w:val="en-US" w:eastAsia="zh-CN"/>
              </w:rPr>
              <w:t>2、项目负责人具备一级注册结构工程师或注册土木工程师（岩土工程）资格证书得5分，无不得分。</w:t>
            </w:r>
          </w:p>
          <w:p>
            <w:pPr>
              <w:jc w:val="both"/>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iCs/>
                <w:color w:val="auto"/>
                <w:sz w:val="21"/>
                <w:szCs w:val="21"/>
                <w:highlight w:val="none"/>
                <w:lang w:val="en-US" w:eastAsia="zh-CN"/>
              </w:rPr>
              <w:t>3、项目负责人具备高级及以上技术职称得5分，中级职称得3分，其余不得分。</w:t>
            </w:r>
          </w:p>
        </w:tc>
        <w:tc>
          <w:tcPr>
            <w:tcW w:w="533" w:type="pct"/>
            <w:noWrap w:val="0"/>
            <w:vAlign w:val="center"/>
          </w:tcPr>
          <w:p>
            <w:pPr>
              <w:snapToGrid w:val="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350" w:type="pct"/>
            <w:noWrap w:val="0"/>
            <w:vAlign w:val="center"/>
          </w:tcPr>
          <w:p>
            <w:pPr>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w:t>
            </w:r>
          </w:p>
        </w:tc>
        <w:tc>
          <w:tcPr>
            <w:tcW w:w="720" w:type="pct"/>
            <w:vMerge w:val="continue"/>
            <w:noWrap w:val="0"/>
            <w:vAlign w:val="center"/>
          </w:tcPr>
          <w:p>
            <w:pPr>
              <w:jc w:val="center"/>
              <w:rPr>
                <w:rFonts w:hint="eastAsia" w:ascii="仿宋_GB2312" w:hAnsi="仿宋_GB2312" w:eastAsia="仿宋_GB2312" w:cs="仿宋_GB2312"/>
                <w:bCs/>
                <w:color w:val="auto"/>
                <w:sz w:val="21"/>
                <w:szCs w:val="21"/>
                <w:highlight w:val="none"/>
              </w:rPr>
            </w:pPr>
          </w:p>
        </w:tc>
        <w:tc>
          <w:tcPr>
            <w:tcW w:w="720" w:type="pct"/>
            <w:noWrap w:val="0"/>
            <w:vAlign w:val="center"/>
          </w:tcPr>
          <w:p>
            <w:pPr>
              <w:snapToGrid w:val="0"/>
              <w:jc w:val="center"/>
              <w:rPr>
                <w:rFonts w:hint="eastAsia" w:ascii="仿宋_GB2312" w:hAnsi="仿宋_GB2312" w:eastAsia="仿宋_GB2312" w:cs="仿宋_GB2312"/>
                <w:iCs/>
                <w:color w:val="auto"/>
                <w:kern w:val="0"/>
                <w:sz w:val="21"/>
                <w:szCs w:val="21"/>
                <w:highlight w:val="none"/>
                <w:lang w:val="en-US" w:eastAsia="zh-CN"/>
              </w:rPr>
            </w:pPr>
            <w:r>
              <w:rPr>
                <w:rFonts w:hint="eastAsia" w:ascii="仿宋_GB2312" w:hAnsi="仿宋_GB2312" w:eastAsia="仿宋_GB2312" w:cs="仿宋_GB2312"/>
                <w:iCs/>
                <w:color w:val="auto"/>
                <w:kern w:val="0"/>
                <w:sz w:val="21"/>
                <w:szCs w:val="21"/>
                <w:highlight w:val="none"/>
                <w:lang w:val="en-US" w:eastAsia="zh-CN"/>
              </w:rPr>
              <w:t>相关承诺</w:t>
            </w:r>
          </w:p>
        </w:tc>
        <w:tc>
          <w:tcPr>
            <w:tcW w:w="2675" w:type="pct"/>
            <w:noWrap w:val="0"/>
            <w:vAlign w:val="center"/>
          </w:tcPr>
          <w:p>
            <w:pPr>
              <w:jc w:val="both"/>
              <w:rPr>
                <w:rFonts w:hint="eastAsia" w:ascii="仿宋_GB2312" w:hAnsi="仿宋_GB2312" w:eastAsia="仿宋_GB2312" w:cs="仿宋_GB2312"/>
                <w:iCs/>
                <w:color w:val="auto"/>
                <w:sz w:val="21"/>
                <w:szCs w:val="21"/>
                <w:highlight w:val="none"/>
                <w:lang w:val="en-US" w:eastAsia="zh-CN"/>
              </w:rPr>
            </w:pPr>
            <w:r>
              <w:rPr>
                <w:rFonts w:hint="eastAsia" w:ascii="仿宋_GB2312" w:hAnsi="仿宋_GB2312" w:eastAsia="仿宋_GB2312" w:cs="仿宋_GB2312"/>
                <w:iCs/>
                <w:color w:val="auto"/>
                <w:sz w:val="21"/>
                <w:szCs w:val="21"/>
                <w:highlight w:val="none"/>
                <w:lang w:val="en-US" w:eastAsia="zh-CN"/>
              </w:rPr>
              <w:t>1.对采购内容的相关技术标准、质量、进度、成果文件等要求做出承诺，按其响应程度计0-5 分。</w:t>
            </w:r>
          </w:p>
          <w:p>
            <w:pPr>
              <w:jc w:val="both"/>
              <w:rPr>
                <w:rFonts w:hint="eastAsia" w:ascii="仿宋_GB2312" w:hAnsi="仿宋_GB2312" w:eastAsia="仿宋_GB2312" w:cs="仿宋_GB2312"/>
                <w:iCs/>
                <w:color w:val="auto"/>
                <w:sz w:val="21"/>
                <w:szCs w:val="21"/>
                <w:highlight w:val="none"/>
                <w:lang w:val="en-US" w:eastAsia="zh-CN"/>
              </w:rPr>
            </w:pPr>
            <w:r>
              <w:rPr>
                <w:rFonts w:hint="eastAsia" w:ascii="仿宋_GB2312" w:hAnsi="仿宋_GB2312" w:eastAsia="仿宋_GB2312" w:cs="仿宋_GB2312"/>
                <w:iCs/>
                <w:color w:val="auto"/>
                <w:sz w:val="21"/>
                <w:szCs w:val="21"/>
                <w:highlight w:val="none"/>
                <w:lang w:val="en-US" w:eastAsia="zh-CN"/>
              </w:rPr>
              <w:t>2.对后期服务等相关内容做出承诺，内容全面，按其响应程度计0-5 分。</w:t>
            </w:r>
          </w:p>
        </w:tc>
        <w:tc>
          <w:tcPr>
            <w:tcW w:w="533" w:type="pct"/>
            <w:noWrap w:val="0"/>
            <w:vAlign w:val="center"/>
          </w:tcPr>
          <w:p>
            <w:pPr>
              <w:snapToGrid w:val="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350" w:type="pct"/>
            <w:noWrap w:val="0"/>
            <w:vAlign w:val="center"/>
          </w:tcPr>
          <w:p>
            <w:pPr>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6</w:t>
            </w:r>
          </w:p>
        </w:tc>
        <w:tc>
          <w:tcPr>
            <w:tcW w:w="720" w:type="pct"/>
            <w:noWrap w:val="0"/>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价格</w:t>
            </w:r>
          </w:p>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val="en-US" w:eastAsia="zh-CN"/>
              </w:rPr>
              <w:t>0</w:t>
            </w:r>
            <w:r>
              <w:rPr>
                <w:rFonts w:hint="eastAsia" w:ascii="仿宋_GB2312" w:hAnsi="仿宋_GB2312" w:eastAsia="仿宋_GB2312" w:cs="仿宋_GB2312"/>
                <w:color w:val="auto"/>
                <w:sz w:val="21"/>
                <w:szCs w:val="21"/>
                <w:highlight w:val="none"/>
              </w:rPr>
              <w:t>分）</w:t>
            </w:r>
          </w:p>
        </w:tc>
        <w:tc>
          <w:tcPr>
            <w:tcW w:w="720" w:type="pct"/>
            <w:noWrap w:val="0"/>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报价得分</w:t>
            </w:r>
          </w:p>
        </w:tc>
        <w:tc>
          <w:tcPr>
            <w:tcW w:w="2675" w:type="pct"/>
            <w:noWrap w:val="0"/>
            <w:vAlign w:val="center"/>
          </w:tcPr>
          <w:p>
            <w:pPr>
              <w:jc w:val="both"/>
              <w:rPr>
                <w:rFonts w:hint="eastAsia" w:ascii="仿宋_GB2312" w:hAnsi="仿宋_GB2312" w:eastAsia="仿宋_GB2312" w:cs="仿宋_GB2312"/>
                <w:iCs/>
                <w:color w:val="auto"/>
                <w:sz w:val="21"/>
                <w:szCs w:val="21"/>
                <w:highlight w:val="none"/>
                <w:lang w:val="en-US" w:eastAsia="zh-CN"/>
              </w:rPr>
            </w:pPr>
            <w:r>
              <w:rPr>
                <w:rFonts w:hint="eastAsia" w:ascii="仿宋_GB2312" w:hAnsi="仿宋_GB2312" w:eastAsia="仿宋_GB2312" w:cs="仿宋_GB2312"/>
                <w:iCs/>
                <w:color w:val="auto"/>
                <w:sz w:val="21"/>
                <w:szCs w:val="21"/>
                <w:highlight w:val="none"/>
                <w:lang w:val="zh-CN" w:eastAsia="zh-CN"/>
              </w:rPr>
              <w:t>满足磋商文件要求且最后报价最低的供应商的价格为磋商基准价，其价格分为满分。其他供应商的价格分统一按照下列公式计算：磋商报价得分=（磋商基准价/最后磋商报价）×报价分值</w:t>
            </w:r>
          </w:p>
        </w:tc>
        <w:tc>
          <w:tcPr>
            <w:tcW w:w="533" w:type="pct"/>
            <w:noWrap w:val="0"/>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val="en-US" w:eastAsia="zh-CN"/>
              </w:rPr>
              <w:t>0</w:t>
            </w:r>
            <w:r>
              <w:rPr>
                <w:rFonts w:hint="eastAsia" w:ascii="仿宋_GB2312" w:hAnsi="仿宋_GB2312" w:eastAsia="仿宋_GB2312" w:cs="仿宋_GB2312"/>
                <w:color w:val="auto"/>
                <w:sz w:val="21"/>
                <w:szCs w:val="21"/>
                <w:highlight w:val="none"/>
              </w:rPr>
              <w:t>分</w:t>
            </w:r>
          </w:p>
        </w:tc>
      </w:tr>
    </w:tbl>
    <w:p>
      <w:pPr>
        <w:jc w:val="both"/>
        <w:rPr>
          <w:rFonts w:ascii="仿宋" w:hAnsi="仿宋" w:eastAsia="仿宋" w:cs="仿宋"/>
          <w:b/>
          <w:color w:val="auto"/>
          <w:kern w:val="0"/>
          <w:sz w:val="30"/>
          <w:szCs w:val="30"/>
          <w:highlight w:val="none"/>
        </w:rPr>
      </w:pPr>
      <w:r>
        <w:rPr>
          <w:rFonts w:hint="eastAsia" w:ascii="仿宋" w:hAnsi="仿宋" w:eastAsia="仿宋" w:cs="仿宋"/>
          <w:color w:val="auto"/>
          <w:szCs w:val="21"/>
          <w:highlight w:val="none"/>
        </w:rPr>
        <w:br w:type="page"/>
      </w:r>
    </w:p>
    <w:p>
      <w:pPr>
        <w:pStyle w:val="46"/>
        <w:spacing w:line="360" w:lineRule="auto"/>
        <w:rPr>
          <w:rStyle w:val="204"/>
          <w:rFonts w:ascii="仿宋" w:hAnsi="仿宋" w:eastAsia="仿宋" w:cs="仿宋"/>
          <w:color w:val="auto"/>
          <w:sz w:val="36"/>
          <w:szCs w:val="36"/>
          <w:highlight w:val="none"/>
        </w:rPr>
      </w:pPr>
      <w:bookmarkStart w:id="422" w:name="_Toc17119"/>
      <w:r>
        <w:rPr>
          <w:rStyle w:val="204"/>
          <w:rFonts w:hint="eastAsia" w:ascii="仿宋" w:hAnsi="仿宋" w:eastAsia="仿宋" w:cs="仿宋"/>
          <w:color w:val="auto"/>
          <w:sz w:val="36"/>
          <w:szCs w:val="36"/>
          <w:highlight w:val="none"/>
        </w:rPr>
        <w:t xml:space="preserve">第四章  </w:t>
      </w:r>
      <w:bookmarkEnd w:id="19"/>
      <w:bookmarkEnd w:id="401"/>
      <w:bookmarkEnd w:id="402"/>
      <w:bookmarkStart w:id="423" w:name="_Toc499711928"/>
      <w:bookmarkStart w:id="424" w:name="_Toc496324623"/>
      <w:bookmarkStart w:id="425" w:name="_Toc500747106"/>
      <w:bookmarkStart w:id="426" w:name="_Toc249515369"/>
      <w:bookmarkStart w:id="427" w:name="_Toc500747010"/>
      <w:bookmarkStart w:id="428" w:name="_Toc184043058"/>
      <w:bookmarkStart w:id="429" w:name="_Toc70687202"/>
      <w:bookmarkStart w:id="430" w:name="_Toc230013638"/>
      <w:bookmarkStart w:id="431" w:name="_Toc176882552"/>
      <w:bookmarkStart w:id="432" w:name="_Toc232176282"/>
      <w:bookmarkStart w:id="433" w:name="_Toc230099803"/>
      <w:bookmarkStart w:id="434" w:name="_Toc249525250"/>
      <w:bookmarkStart w:id="435" w:name="_Toc230583552"/>
      <w:bookmarkStart w:id="436" w:name="_Toc177817344"/>
      <w:bookmarkStart w:id="437" w:name="_Toc500747233"/>
      <w:bookmarkStart w:id="438" w:name="_Toc499711087"/>
      <w:bookmarkStart w:id="439" w:name="_Toc415499897"/>
      <w:bookmarkStart w:id="440" w:name="_Toc249515482"/>
      <w:bookmarkStart w:id="441" w:name="_Toc256342152"/>
      <w:bookmarkStart w:id="442" w:name="_Toc503063458"/>
      <w:bookmarkStart w:id="443" w:name="_Toc28450"/>
      <w:bookmarkStart w:id="444" w:name="_Toc177995483"/>
      <w:bookmarkStart w:id="445" w:name="_Toc53722865"/>
      <w:bookmarkStart w:id="446" w:name="_Toc232395222"/>
      <w:bookmarkStart w:id="447" w:name="_Toc492955459"/>
      <w:bookmarkStart w:id="448" w:name="_Toc177189245"/>
      <w:r>
        <w:rPr>
          <w:rStyle w:val="204"/>
          <w:rFonts w:hint="eastAsia" w:ascii="仿宋" w:hAnsi="仿宋" w:eastAsia="仿宋" w:cs="仿宋"/>
          <w:color w:val="auto"/>
          <w:sz w:val="36"/>
          <w:szCs w:val="36"/>
          <w:highlight w:val="none"/>
        </w:rPr>
        <w:t>拟签订的合同文本</w:t>
      </w:r>
      <w:bookmarkEnd w:id="422"/>
    </w:p>
    <w:p>
      <w:pPr>
        <w:tabs>
          <w:tab w:val="left" w:pos="735"/>
        </w:tabs>
        <w:autoSpaceDE w:val="0"/>
        <w:autoSpaceDN w:val="0"/>
        <w:adjustRightInd w:val="0"/>
        <w:snapToGrid w:val="0"/>
        <w:spacing w:before="240" w:beforeLines="100" w:line="360" w:lineRule="auto"/>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甲方：</w:t>
      </w:r>
      <w:r>
        <w:rPr>
          <w:rFonts w:hint="eastAsia" w:ascii="仿宋" w:hAnsi="仿宋" w:eastAsia="仿宋" w:cs="仿宋"/>
          <w:bCs/>
          <w:color w:val="auto"/>
          <w:sz w:val="24"/>
          <w:highlight w:val="none"/>
          <w:lang w:val="zh-CN"/>
        </w:rPr>
        <w:t xml:space="preserve">（前款所称采购人）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zh-CN"/>
        </w:rPr>
        <w:t>住所：</w:t>
      </w:r>
    </w:p>
    <w:p>
      <w:pPr>
        <w:tabs>
          <w:tab w:val="left" w:pos="735"/>
        </w:tabs>
        <w:autoSpaceDE w:val="0"/>
        <w:autoSpaceDN w:val="0"/>
        <w:adjustRightInd w:val="0"/>
        <w:snapToGrid w:val="0"/>
        <w:spacing w:line="360" w:lineRule="auto"/>
        <w:rPr>
          <w:rFonts w:ascii="仿宋" w:hAnsi="仿宋" w:eastAsia="仿宋" w:cs="仿宋"/>
          <w:bCs/>
          <w:color w:val="auto"/>
          <w:sz w:val="24"/>
          <w:highlight w:val="none"/>
          <w:lang w:val="zh-CN"/>
        </w:rPr>
      </w:pPr>
      <w:r>
        <w:rPr>
          <w:rFonts w:hint="eastAsia" w:ascii="仿宋" w:hAnsi="仿宋" w:eastAsia="仿宋" w:cs="仿宋"/>
          <w:b/>
          <w:bCs/>
          <w:color w:val="auto"/>
          <w:sz w:val="24"/>
          <w:highlight w:val="none"/>
          <w:lang w:val="zh-CN"/>
        </w:rPr>
        <w:t>乙方：</w:t>
      </w:r>
      <w:r>
        <w:rPr>
          <w:rFonts w:hint="eastAsia" w:ascii="仿宋" w:hAnsi="仿宋" w:eastAsia="仿宋" w:cs="仿宋"/>
          <w:bCs/>
          <w:color w:val="auto"/>
          <w:sz w:val="24"/>
          <w:highlight w:val="none"/>
          <w:lang w:val="zh-CN"/>
        </w:rPr>
        <w:t>（前款所称</w:t>
      </w:r>
      <w:r>
        <w:rPr>
          <w:rFonts w:hint="eastAsia" w:ascii="仿宋" w:hAnsi="仿宋" w:eastAsia="仿宋" w:cs="仿宋"/>
          <w:bCs/>
          <w:color w:val="auto"/>
          <w:sz w:val="24"/>
          <w:highlight w:val="none"/>
        </w:rPr>
        <w:t>成交供应商</w:t>
      </w:r>
      <w:r>
        <w:rPr>
          <w:rFonts w:hint="eastAsia" w:ascii="仿宋" w:hAnsi="仿宋" w:eastAsia="仿宋" w:cs="仿宋"/>
          <w:bCs/>
          <w:color w:val="auto"/>
          <w:sz w:val="24"/>
          <w:highlight w:val="none"/>
          <w:lang w:val="zh-CN"/>
        </w:rPr>
        <w:t>）     住所：</w:t>
      </w:r>
    </w:p>
    <w:p>
      <w:pPr>
        <w:adjustRightInd w:val="0"/>
        <w:snapToGrid w:val="0"/>
        <w:spacing w:line="360" w:lineRule="auto"/>
        <w:ind w:firstLine="480" w:firstLineChars="200"/>
        <w:rPr>
          <w:rFonts w:ascii="仿宋" w:hAnsi="仿宋" w:eastAsia="仿宋" w:cs="仿宋"/>
          <w:color w:val="auto"/>
          <w:sz w:val="24"/>
          <w:highlight w:val="none"/>
        </w:rPr>
      </w:pPr>
      <w:bookmarkStart w:id="449" w:name="_Toc19515384"/>
      <w:r>
        <w:rPr>
          <w:rFonts w:hint="eastAsia" w:ascii="仿宋" w:hAnsi="仿宋" w:eastAsia="仿宋" w:cs="仿宋"/>
          <w:color w:val="auto"/>
          <w:sz w:val="24"/>
          <w:highlight w:val="none"/>
        </w:rPr>
        <w:t>一、合同内容（标的、数量、质量等）:</w:t>
      </w:r>
      <w:bookmarkEnd w:id="449"/>
    </w:p>
    <w:p>
      <w:pPr>
        <w:adjustRightInd w:val="0"/>
        <w:snapToGrid w:val="0"/>
        <w:spacing w:line="360" w:lineRule="auto"/>
        <w:ind w:firstLine="480" w:firstLineChars="200"/>
        <w:rPr>
          <w:rFonts w:ascii="仿宋" w:hAnsi="仿宋" w:eastAsia="仿宋" w:cs="仿宋"/>
          <w:color w:val="auto"/>
          <w:sz w:val="24"/>
          <w:highlight w:val="none"/>
        </w:rPr>
      </w:pPr>
      <w:bookmarkStart w:id="450" w:name="_Toc19515385"/>
      <w:r>
        <w:rPr>
          <w:rFonts w:hint="eastAsia" w:ascii="仿宋" w:hAnsi="仿宋" w:eastAsia="仿宋" w:cs="仿宋"/>
          <w:color w:val="auto"/>
          <w:sz w:val="24"/>
          <w:highlight w:val="none"/>
        </w:rPr>
        <w:t>二、合同价款</w:t>
      </w:r>
      <w:bookmarkEnd w:id="450"/>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1、合同总价：</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2、合同总价包括：完成本次采购内容的所有费用。</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3、合同为固定总价合同，不受市场价变化的影响。</w:t>
      </w:r>
    </w:p>
    <w:p>
      <w:pPr>
        <w:adjustRightInd w:val="0"/>
        <w:snapToGrid w:val="0"/>
        <w:spacing w:line="360" w:lineRule="auto"/>
        <w:ind w:firstLine="480" w:firstLineChars="200"/>
        <w:rPr>
          <w:rFonts w:ascii="仿宋" w:hAnsi="仿宋" w:eastAsia="仿宋" w:cs="仿宋"/>
          <w:color w:val="auto"/>
          <w:sz w:val="24"/>
          <w:highlight w:val="none"/>
        </w:rPr>
      </w:pPr>
      <w:bookmarkStart w:id="451" w:name="_Toc19515386"/>
      <w:r>
        <w:rPr>
          <w:rFonts w:hint="eastAsia" w:ascii="仿宋" w:hAnsi="仿宋" w:eastAsia="仿宋" w:cs="仿宋"/>
          <w:color w:val="auto"/>
          <w:sz w:val="24"/>
          <w:highlight w:val="none"/>
        </w:rPr>
        <w:t>三、合同结算</w:t>
      </w:r>
      <w:bookmarkEnd w:id="451"/>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1、付款比例：</w:t>
      </w:r>
      <w:r>
        <w:rPr>
          <w:rFonts w:hint="eastAsia" w:ascii="仿宋" w:hAnsi="仿宋" w:eastAsia="仿宋" w:cs="仿宋"/>
          <w:color w:val="auto"/>
          <w:sz w:val="24"/>
          <w:highlight w:val="none"/>
          <w:lang w:val="en-US" w:eastAsia="zh-CN"/>
        </w:rPr>
        <w:t>合同签订后支付预付款40%，剩余款项合同履行完毕后一次性付清</w:t>
      </w:r>
      <w:r>
        <w:rPr>
          <w:rFonts w:hint="eastAsia" w:ascii="仿宋" w:hAnsi="仿宋" w:eastAsia="仿宋" w:cs="仿宋"/>
          <w:color w:val="auto"/>
          <w:sz w:val="24"/>
          <w:highlight w:val="none"/>
        </w:rPr>
        <w:t>。</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2、结算方式：银行转账。</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3、结算单位：由</w:t>
      </w:r>
      <w:r>
        <w:rPr>
          <w:rFonts w:hint="eastAsia" w:ascii="仿宋" w:hAnsi="仿宋" w:eastAsia="仿宋" w:cs="仿宋"/>
          <w:color w:val="auto"/>
          <w:sz w:val="24"/>
          <w:highlight w:val="none"/>
          <w:u w:val="single"/>
        </w:rPr>
        <w:t xml:space="preserve">  甲方 </w:t>
      </w:r>
      <w:r>
        <w:rPr>
          <w:rFonts w:hint="eastAsia" w:ascii="仿宋" w:hAnsi="仿宋" w:eastAsia="仿宋" w:cs="仿宋"/>
          <w:color w:val="auto"/>
          <w:sz w:val="24"/>
          <w:highlight w:val="none"/>
        </w:rPr>
        <w:t>负责结算，乙方开具合同总价数的全额发票交采购人。</w:t>
      </w:r>
    </w:p>
    <w:p>
      <w:pPr>
        <w:adjustRightInd w:val="0"/>
        <w:snapToGrid w:val="0"/>
        <w:spacing w:line="360" w:lineRule="auto"/>
        <w:ind w:firstLine="480" w:firstLineChars="200"/>
        <w:rPr>
          <w:rFonts w:ascii="仿宋" w:hAnsi="仿宋" w:eastAsia="仿宋" w:cs="仿宋"/>
          <w:color w:val="auto"/>
          <w:sz w:val="24"/>
          <w:highlight w:val="none"/>
        </w:rPr>
      </w:pPr>
      <w:bookmarkStart w:id="452" w:name="_Toc19515387"/>
      <w:r>
        <w:rPr>
          <w:rFonts w:hint="eastAsia" w:ascii="仿宋" w:hAnsi="仿宋" w:eastAsia="仿宋" w:cs="仿宋"/>
          <w:color w:val="auto"/>
          <w:sz w:val="24"/>
          <w:highlight w:val="none"/>
        </w:rPr>
        <w:t>四、履行期限、地点:</w:t>
      </w:r>
      <w:bookmarkEnd w:id="452"/>
    </w:p>
    <w:p>
      <w:pPr>
        <w:adjustRightInd w:val="0"/>
        <w:snapToGrid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1、履行期限：</w:t>
      </w:r>
      <w:r>
        <w:rPr>
          <w:rFonts w:hint="eastAsia" w:ascii="仿宋" w:hAnsi="仿宋" w:eastAsia="仿宋" w:cs="仿宋"/>
          <w:color w:val="auto"/>
          <w:sz w:val="24"/>
          <w:highlight w:val="none"/>
          <w:lang w:eastAsia="zh-CN"/>
        </w:rPr>
        <w:t>自合同签订后 30 天内提交正式报告并通过专家评审。</w:t>
      </w:r>
    </w:p>
    <w:p>
      <w:pPr>
        <w:adjustRightInd w:val="0"/>
        <w:snapToGrid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其中：</w:t>
      </w:r>
    </w:p>
    <w:p>
      <w:pPr>
        <w:adjustRightInd w:val="0"/>
        <w:snapToGrid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）自合同签订后 10 天内完成招标范围内房屋、围墙、及道路检测；</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）房屋现状结构检测、围墙、及道路检测完成后 20 天内提供安全鉴定报告</w:t>
      </w:r>
      <w:r>
        <w:rPr>
          <w:rFonts w:hint="eastAsia" w:ascii="仿宋" w:hAnsi="仿宋" w:eastAsia="仿宋" w:cs="仿宋"/>
          <w:color w:val="auto"/>
          <w:sz w:val="24"/>
          <w:highlight w:val="none"/>
        </w:rPr>
        <w:t>。</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服务</w:t>
      </w:r>
      <w:r>
        <w:rPr>
          <w:rFonts w:hint="eastAsia" w:ascii="仿宋" w:hAnsi="仿宋" w:eastAsia="仿宋" w:cs="仿宋"/>
          <w:color w:val="auto"/>
          <w:sz w:val="24"/>
          <w:highlight w:val="none"/>
        </w:rPr>
        <w:t>地点：采购人指定地点</w:t>
      </w:r>
    </w:p>
    <w:p>
      <w:pPr>
        <w:adjustRightInd w:val="0"/>
        <w:snapToGrid w:val="0"/>
        <w:spacing w:line="360" w:lineRule="auto"/>
        <w:ind w:firstLine="480" w:firstLineChars="200"/>
        <w:rPr>
          <w:rFonts w:ascii="仿宋" w:hAnsi="仿宋" w:eastAsia="仿宋" w:cs="仿宋"/>
          <w:color w:val="auto"/>
          <w:sz w:val="24"/>
          <w:highlight w:val="none"/>
        </w:rPr>
      </w:pPr>
      <w:bookmarkStart w:id="453" w:name="_Toc19515390"/>
      <w:r>
        <w:rPr>
          <w:rFonts w:hint="eastAsia" w:ascii="仿宋" w:hAnsi="仿宋" w:eastAsia="仿宋" w:cs="仿宋"/>
          <w:color w:val="auto"/>
          <w:sz w:val="24"/>
          <w:highlight w:val="none"/>
        </w:rPr>
        <w:t>五、技术服务</w:t>
      </w:r>
      <w:bookmarkEnd w:id="453"/>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对技术服务的要求：满足磋商文件要求</w:t>
      </w:r>
    </w:p>
    <w:p>
      <w:pPr>
        <w:adjustRightInd w:val="0"/>
        <w:snapToGrid w:val="0"/>
        <w:spacing w:line="360" w:lineRule="auto"/>
        <w:ind w:firstLine="480" w:firstLineChars="200"/>
        <w:rPr>
          <w:rFonts w:ascii="仿宋" w:hAnsi="仿宋" w:eastAsia="仿宋" w:cs="仿宋"/>
          <w:color w:val="auto"/>
          <w:sz w:val="24"/>
          <w:highlight w:val="none"/>
        </w:rPr>
      </w:pPr>
      <w:bookmarkStart w:id="454" w:name="_Toc19515391"/>
      <w:r>
        <w:rPr>
          <w:rFonts w:hint="eastAsia" w:ascii="仿宋" w:hAnsi="仿宋" w:eastAsia="仿宋" w:cs="仿宋"/>
          <w:color w:val="auto"/>
          <w:sz w:val="24"/>
          <w:highlight w:val="none"/>
        </w:rPr>
        <w:t>六、双方的权利和义务</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（一）甲方的权利和义务</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1、明确所需服务要求；</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2、对乙方所供服务进行验收；</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3、按约支付价款。</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（二）乙方的权利和义务</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1、保证所供服务符合甲方要求；</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2、按时向甲方提供服务；</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3、主动通知甲方办理验收，并办理结算手续。</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七、验收</w:t>
      </w:r>
      <w:bookmarkEnd w:id="454"/>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1、验收：由甲方组织验收，验收合格后向乙方出具验收结果</w:t>
      </w:r>
      <w:r>
        <w:rPr>
          <w:rFonts w:hint="eastAsia" w:ascii="仿宋" w:hAnsi="仿宋" w:eastAsia="仿宋" w:cs="仿宋"/>
          <w:color w:val="auto"/>
          <w:highlight w:val="none"/>
        </w:rPr>
        <w:t>，</w:t>
      </w:r>
      <w:r>
        <w:rPr>
          <w:rFonts w:hint="eastAsia" w:ascii="仿宋" w:hAnsi="仿宋" w:eastAsia="仿宋" w:cs="仿宋"/>
          <w:color w:val="auto"/>
          <w:sz w:val="24"/>
          <w:highlight w:val="none"/>
        </w:rPr>
        <w:t>验收发生的费用由乙方承担。</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2、验收依据：</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2-1、合同文本、合同附件、竞争性磋商文件、成交供应商的响应文件。</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2-2、国内相应的标准、规范。</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2、验收依据：设备验收时按照乙方响应文件中的参数响应表逐条验收，采购人发现相关产品有虚假参数时，乙方承诺按照国家相关法律承担相应责任，同时承诺对采购人进行成交金额的全款赔付。</w:t>
      </w:r>
    </w:p>
    <w:p>
      <w:pPr>
        <w:adjustRightInd w:val="0"/>
        <w:snapToGrid w:val="0"/>
        <w:spacing w:line="360" w:lineRule="auto"/>
        <w:ind w:firstLine="480" w:firstLineChars="200"/>
        <w:rPr>
          <w:rFonts w:ascii="仿宋" w:hAnsi="仿宋" w:eastAsia="仿宋" w:cs="仿宋"/>
          <w:color w:val="auto"/>
          <w:sz w:val="24"/>
          <w:highlight w:val="none"/>
        </w:rPr>
      </w:pPr>
      <w:bookmarkStart w:id="455" w:name="_Toc19515392"/>
      <w:r>
        <w:rPr>
          <w:rFonts w:hint="eastAsia" w:ascii="仿宋" w:hAnsi="仿宋" w:eastAsia="仿宋" w:cs="仿宋"/>
          <w:color w:val="auto"/>
          <w:sz w:val="24"/>
          <w:highlight w:val="none"/>
        </w:rPr>
        <w:t>八、保密条款</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乙方应遵守国家有关保密的法律法规和行业规定，并对甲方提供的资料负有保密义务。未经甲方同意，不得将承接政府服务项目获得的政府、公民个人等各种信息和资料提供给其他单位和个人。如发生以上情况，甲方有权索赔。</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3、本条款为独立条款,本合同的无效、变更、解除和终止均不影响本条款的效力。</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九、违约责任</w:t>
      </w:r>
      <w:bookmarkEnd w:id="455"/>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1、按《中华人民共和国民法典》中的相关条款执行。</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2、乙方履约延误</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2-1、如乙方事先未征得甲方同意并得到甲方的谅解而单方面延迟执行合同，将按违约终止合同。</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3、违约终止合同：未按合同要求提供服务或不能满足技术要求，甲方会同监督机构有权终止合同，对乙方违约行为进行追究，同时按政府采购法的有关规定进行相应的处罚。</w:t>
      </w:r>
    </w:p>
    <w:p>
      <w:pPr>
        <w:adjustRightInd w:val="0"/>
        <w:snapToGrid w:val="0"/>
        <w:spacing w:line="360" w:lineRule="auto"/>
        <w:ind w:firstLine="480" w:firstLineChars="200"/>
        <w:rPr>
          <w:rFonts w:ascii="仿宋" w:hAnsi="仿宋" w:eastAsia="仿宋" w:cs="仿宋"/>
          <w:color w:val="auto"/>
          <w:sz w:val="24"/>
          <w:highlight w:val="none"/>
        </w:rPr>
      </w:pPr>
      <w:bookmarkStart w:id="456" w:name="_Toc19515393"/>
      <w:r>
        <w:rPr>
          <w:rFonts w:hint="eastAsia" w:ascii="仿宋" w:hAnsi="仿宋" w:eastAsia="仿宋" w:cs="仿宋"/>
          <w:color w:val="auto"/>
          <w:sz w:val="24"/>
          <w:highlight w:val="none"/>
        </w:rPr>
        <w:t>十、合同组成</w:t>
      </w:r>
      <w:bookmarkEnd w:id="456"/>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1、成交通知书</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2、合同文件</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3、国家相关规范及标准</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4、竞争性磋商文件</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5、成交供应商的响应文件</w:t>
      </w:r>
    </w:p>
    <w:p>
      <w:pPr>
        <w:adjustRightInd w:val="0"/>
        <w:snapToGrid w:val="0"/>
        <w:spacing w:line="360" w:lineRule="auto"/>
        <w:ind w:firstLine="480" w:firstLineChars="200"/>
        <w:rPr>
          <w:rFonts w:ascii="仿宋" w:hAnsi="仿宋" w:eastAsia="仿宋" w:cs="仿宋"/>
          <w:color w:val="auto"/>
          <w:sz w:val="24"/>
          <w:highlight w:val="none"/>
        </w:rPr>
      </w:pPr>
      <w:bookmarkStart w:id="457" w:name="_Toc19515394"/>
      <w:r>
        <w:rPr>
          <w:rFonts w:hint="eastAsia" w:ascii="仿宋" w:hAnsi="仿宋" w:eastAsia="仿宋" w:cs="仿宋"/>
          <w:color w:val="auto"/>
          <w:sz w:val="24"/>
          <w:highlight w:val="none"/>
        </w:rPr>
        <w:t>十一、解决争议的方法</w:t>
      </w:r>
      <w:bookmarkEnd w:id="457"/>
    </w:p>
    <w:p>
      <w:pPr>
        <w:widowControl/>
        <w:autoSpaceDE w:val="0"/>
        <w:autoSpaceDN w:val="0"/>
        <w:snapToGrid w:val="0"/>
        <w:spacing w:line="360" w:lineRule="auto"/>
        <w:ind w:right="-110" w:firstLine="480" w:firstLineChars="200"/>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凡因本合同引起的或与本合同有关的争议，双方应友好协商解决。协商不成时，双方均同意采用以下第（  ）种争议解决方式：</w:t>
      </w:r>
    </w:p>
    <w:p>
      <w:pPr>
        <w:widowControl/>
        <w:autoSpaceDE w:val="0"/>
        <w:autoSpaceDN w:val="0"/>
        <w:snapToGrid w:val="0"/>
        <w:spacing w:line="360" w:lineRule="auto"/>
        <w:ind w:right="-110" w:firstLine="480" w:firstLineChars="200"/>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（1）、甲、乙双方均同意向（甲方所在地人民法院）提起诉讼。</w:t>
      </w:r>
    </w:p>
    <w:p>
      <w:pPr>
        <w:widowControl/>
        <w:autoSpaceDE w:val="0"/>
        <w:autoSpaceDN w:val="0"/>
        <w:snapToGrid w:val="0"/>
        <w:spacing w:line="360" w:lineRule="auto"/>
        <w:ind w:right="-110" w:firstLine="480" w:firstLineChars="200"/>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（2）、甲、乙双方均同意向（</w:t>
      </w:r>
      <w:r>
        <w:rPr>
          <w:color w:val="auto"/>
          <w:highlight w:val="none"/>
        </w:rPr>
        <w:fldChar w:fldCharType="begin"/>
      </w:r>
      <w:r>
        <w:rPr>
          <w:color w:val="auto"/>
          <w:highlight w:val="none"/>
        </w:rPr>
        <w:instrText xml:space="preserve"> HYPERLINK "http://www.baidu.com/s?wd=%E4%BB%B2%E8%A3%81%E5%A7%94%E5%91%98%E4%BC%9A&amp;tn=SE_PcZhidaonwhc_ngpagmjz&amp;rsv_dl=gh_pc_zhidao" \t "_blank" </w:instrText>
      </w:r>
      <w:r>
        <w:rPr>
          <w:color w:val="auto"/>
          <w:highlight w:val="none"/>
        </w:rPr>
        <w:fldChar w:fldCharType="separate"/>
      </w:r>
      <w:r>
        <w:rPr>
          <w:rFonts w:hint="eastAsia" w:ascii="仿宋" w:hAnsi="仿宋" w:eastAsia="仿宋" w:cs="仿宋"/>
          <w:color w:val="auto"/>
          <w:kern w:val="0"/>
          <w:sz w:val="24"/>
          <w:highlight w:val="none"/>
        </w:rPr>
        <w:t>仲裁委员会</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）提起仲裁。</w:t>
      </w:r>
    </w:p>
    <w:p>
      <w:pPr>
        <w:adjustRightInd w:val="0"/>
        <w:snapToGrid w:val="0"/>
        <w:spacing w:line="360" w:lineRule="auto"/>
        <w:ind w:firstLine="480" w:firstLineChars="200"/>
        <w:rPr>
          <w:rFonts w:ascii="仿宋" w:hAnsi="仿宋" w:eastAsia="仿宋" w:cs="仿宋"/>
          <w:color w:val="auto"/>
          <w:sz w:val="24"/>
          <w:highlight w:val="none"/>
        </w:rPr>
      </w:pPr>
      <w:bookmarkStart w:id="458" w:name="_Toc19515395"/>
      <w:r>
        <w:rPr>
          <w:rFonts w:hint="eastAsia" w:ascii="仿宋" w:hAnsi="仿宋" w:eastAsia="仿宋" w:cs="仿宋"/>
          <w:color w:val="auto"/>
          <w:sz w:val="24"/>
          <w:highlight w:val="none"/>
        </w:rPr>
        <w:t>十二、合同生效及其它</w:t>
      </w:r>
      <w:bookmarkEnd w:id="458"/>
    </w:p>
    <w:p>
      <w:pPr>
        <w:widowControl/>
        <w:autoSpaceDE w:val="0"/>
        <w:autoSpaceDN w:val="0"/>
        <w:snapToGrid w:val="0"/>
        <w:spacing w:line="360" w:lineRule="auto"/>
        <w:ind w:right="-110" w:firstLine="480" w:firstLineChars="200"/>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本合同正本一式</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份，甲方、乙方双方分别执</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份，</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备案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份。</w:t>
      </w:r>
    </w:p>
    <w:p>
      <w:pPr>
        <w:widowControl/>
        <w:tabs>
          <w:tab w:val="left" w:pos="8391"/>
        </w:tabs>
        <w:autoSpaceDE w:val="0"/>
        <w:autoSpaceDN w:val="0"/>
        <w:snapToGrid w:val="0"/>
        <w:spacing w:line="360" w:lineRule="auto"/>
        <w:ind w:right="-69" w:firstLine="480" w:firstLineChars="200"/>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3、合同经甲乙双方盖章、签字后生效，合同签订地点为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widowControl/>
        <w:tabs>
          <w:tab w:val="left" w:pos="8391"/>
        </w:tabs>
        <w:autoSpaceDE w:val="0"/>
        <w:autoSpaceDN w:val="0"/>
        <w:snapToGrid w:val="0"/>
        <w:spacing w:line="360" w:lineRule="auto"/>
        <w:ind w:right="-69" w:firstLine="480" w:firstLineChars="200"/>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4、生效时间：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日</w:t>
      </w:r>
    </w:p>
    <w:p>
      <w:pPr>
        <w:widowControl/>
        <w:tabs>
          <w:tab w:val="left" w:pos="8391"/>
        </w:tabs>
        <w:autoSpaceDE w:val="0"/>
        <w:autoSpaceDN w:val="0"/>
        <w:snapToGrid w:val="0"/>
        <w:spacing w:line="360" w:lineRule="auto"/>
        <w:ind w:right="-69" w:firstLine="840" w:firstLineChars="350"/>
        <w:textAlignment w:val="bottom"/>
        <w:rPr>
          <w:rFonts w:ascii="仿宋" w:hAnsi="仿宋" w:eastAsia="仿宋" w:cs="仿宋"/>
          <w:color w:val="auto"/>
          <w:kern w:val="0"/>
          <w:sz w:val="24"/>
          <w:highlight w:val="none"/>
        </w:rPr>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甲方名称</w:t>
            </w:r>
            <w:r>
              <w:rPr>
                <w:rFonts w:hint="eastAsia" w:ascii="仿宋" w:hAnsi="仿宋" w:eastAsia="仿宋" w:cs="仿宋"/>
                <w:color w:val="auto"/>
                <w:spacing w:val="-20"/>
                <w:kern w:val="0"/>
                <w:sz w:val="24"/>
                <w:highlight w:val="none"/>
              </w:rPr>
              <w:t>（盖章）</w:t>
            </w:r>
            <w:r>
              <w:rPr>
                <w:rFonts w:hint="eastAsia" w:ascii="仿宋" w:hAnsi="仿宋" w:eastAsia="仿宋" w:cs="仿宋"/>
                <w:color w:val="auto"/>
                <w:kern w:val="0"/>
                <w:sz w:val="24"/>
                <w:highlight w:val="none"/>
              </w:rPr>
              <w:t>:</w:t>
            </w:r>
          </w:p>
          <w:p>
            <w:pPr>
              <w:widowControl/>
              <w:autoSpaceDE w:val="0"/>
              <w:autoSpaceDN w:val="0"/>
              <w:snapToGrid w:val="0"/>
              <w:spacing w:line="360" w:lineRule="auto"/>
              <w:ind w:right="-154"/>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地址：</w:t>
            </w:r>
          </w:p>
          <w:p>
            <w:pPr>
              <w:widowControl/>
              <w:autoSpaceDE w:val="0"/>
              <w:autoSpaceDN w:val="0"/>
              <w:snapToGrid w:val="0"/>
              <w:spacing w:line="360" w:lineRule="auto"/>
              <w:ind w:right="-154"/>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代表人（签字）：</w:t>
            </w:r>
          </w:p>
          <w:p>
            <w:pPr>
              <w:widowControl/>
              <w:autoSpaceDE w:val="0"/>
              <w:autoSpaceDN w:val="0"/>
              <w:snapToGrid w:val="0"/>
              <w:spacing w:line="360" w:lineRule="auto"/>
              <w:ind w:right="-154"/>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电话：</w:t>
            </w:r>
          </w:p>
          <w:p>
            <w:pPr>
              <w:widowControl/>
              <w:autoSpaceDE w:val="0"/>
              <w:autoSpaceDN w:val="0"/>
              <w:snapToGrid w:val="0"/>
              <w:spacing w:line="360" w:lineRule="auto"/>
              <w:ind w:right="-154"/>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开户银行：</w:t>
            </w:r>
          </w:p>
          <w:p>
            <w:pPr>
              <w:widowControl/>
              <w:autoSpaceDE w:val="0"/>
              <w:autoSpaceDN w:val="0"/>
              <w:snapToGrid w:val="0"/>
              <w:spacing w:line="360" w:lineRule="auto"/>
              <w:ind w:right="-154"/>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账号：</w:t>
            </w:r>
          </w:p>
        </w:tc>
        <w:tc>
          <w:tcPr>
            <w:tcW w:w="4643" w:type="dxa"/>
          </w:tcPr>
          <w:p>
            <w:pPr>
              <w:widowControl/>
              <w:autoSpaceDE w:val="0"/>
              <w:autoSpaceDN w:val="0"/>
              <w:snapToGrid w:val="0"/>
              <w:spacing w:line="360" w:lineRule="auto"/>
              <w:ind w:right="-154"/>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乙方名称</w:t>
            </w:r>
            <w:r>
              <w:rPr>
                <w:rFonts w:hint="eastAsia" w:ascii="仿宋" w:hAnsi="仿宋" w:eastAsia="仿宋" w:cs="仿宋"/>
                <w:color w:val="auto"/>
                <w:spacing w:val="-20"/>
                <w:kern w:val="0"/>
                <w:sz w:val="24"/>
                <w:highlight w:val="none"/>
              </w:rPr>
              <w:t>（盖章）</w:t>
            </w:r>
            <w:r>
              <w:rPr>
                <w:rFonts w:hint="eastAsia" w:ascii="仿宋" w:hAnsi="仿宋" w:eastAsia="仿宋" w:cs="仿宋"/>
                <w:color w:val="auto"/>
                <w:kern w:val="0"/>
                <w:sz w:val="24"/>
                <w:highlight w:val="none"/>
              </w:rPr>
              <w:t>:</w:t>
            </w:r>
          </w:p>
          <w:p>
            <w:pPr>
              <w:widowControl/>
              <w:autoSpaceDE w:val="0"/>
              <w:autoSpaceDN w:val="0"/>
              <w:snapToGrid w:val="0"/>
              <w:spacing w:line="360" w:lineRule="auto"/>
              <w:ind w:right="-154"/>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地址：</w:t>
            </w:r>
          </w:p>
          <w:p>
            <w:pPr>
              <w:widowControl/>
              <w:autoSpaceDE w:val="0"/>
              <w:autoSpaceDN w:val="0"/>
              <w:snapToGrid w:val="0"/>
              <w:spacing w:line="360" w:lineRule="auto"/>
              <w:ind w:right="-154"/>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代表人（签字）：</w:t>
            </w:r>
          </w:p>
          <w:p>
            <w:pPr>
              <w:widowControl/>
              <w:autoSpaceDE w:val="0"/>
              <w:autoSpaceDN w:val="0"/>
              <w:snapToGrid w:val="0"/>
              <w:spacing w:line="360" w:lineRule="auto"/>
              <w:ind w:right="-154"/>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电话：</w:t>
            </w:r>
          </w:p>
          <w:p>
            <w:pPr>
              <w:widowControl/>
              <w:autoSpaceDE w:val="0"/>
              <w:autoSpaceDN w:val="0"/>
              <w:snapToGrid w:val="0"/>
              <w:spacing w:line="360" w:lineRule="auto"/>
              <w:ind w:right="-154"/>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开户银行：</w:t>
            </w:r>
          </w:p>
          <w:p>
            <w:pPr>
              <w:widowControl/>
              <w:autoSpaceDE w:val="0"/>
              <w:autoSpaceDN w:val="0"/>
              <w:snapToGrid w:val="0"/>
              <w:spacing w:line="360" w:lineRule="auto"/>
              <w:ind w:right="-154"/>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账号：</w:t>
            </w:r>
          </w:p>
        </w:tc>
      </w:tr>
    </w:tbl>
    <w:p>
      <w:pPr>
        <w:autoSpaceDE w:val="0"/>
        <w:autoSpaceDN w:val="0"/>
        <w:adjustRightInd w:val="0"/>
        <w:spacing w:line="360" w:lineRule="auto"/>
        <w:jc w:val="left"/>
        <w:rPr>
          <w:rFonts w:ascii="仿宋" w:hAnsi="仿宋" w:eastAsia="仿宋" w:cs="仿宋"/>
          <w:b/>
          <w:bCs/>
          <w:color w:val="auto"/>
          <w:sz w:val="32"/>
          <w:szCs w:val="32"/>
          <w:highlight w:val="none"/>
        </w:rPr>
      </w:pPr>
    </w:p>
    <w:p>
      <w:pPr>
        <w:pStyle w:val="25"/>
        <w:rPr>
          <w:rFonts w:ascii="仿宋" w:hAnsi="仿宋" w:eastAsia="仿宋" w:cs="仿宋"/>
          <w:color w:val="auto"/>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br w:type="page"/>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合同附件1：</w:t>
      </w:r>
    </w:p>
    <w:tbl>
      <w:tblPr>
        <w:tblStyle w:val="50"/>
        <w:tblW w:w="5000" w:type="pct"/>
        <w:tblInd w:w="0" w:type="dxa"/>
        <w:tblLayout w:type="autofit"/>
        <w:tblCellMar>
          <w:top w:w="0" w:type="dxa"/>
          <w:left w:w="108" w:type="dxa"/>
          <w:bottom w:w="0" w:type="dxa"/>
          <w:right w:w="108" w:type="dxa"/>
        </w:tblCellMar>
      </w:tblPr>
      <w:tblGrid>
        <w:gridCol w:w="1687"/>
        <w:gridCol w:w="2468"/>
        <w:gridCol w:w="2710"/>
        <w:gridCol w:w="2284"/>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48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仿宋"/>
                <w:b/>
                <w:bCs/>
                <w:color w:val="auto"/>
                <w:kern w:val="0"/>
                <w:sz w:val="24"/>
                <w:highlight w:val="none"/>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highlight w:val="none"/>
              </w:rPr>
            </w:pPr>
          </w:p>
        </w:tc>
        <w:tc>
          <w:tcPr>
            <w:tcW w:w="148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开户行</w:t>
            </w:r>
          </w:p>
        </w:tc>
        <w:tc>
          <w:tcPr>
            <w:tcW w:w="1349"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48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账号</w:t>
            </w:r>
          </w:p>
        </w:tc>
        <w:tc>
          <w:tcPr>
            <w:tcW w:w="1248" w:type="pct"/>
            <w:tcBorders>
              <w:top w:val="nil"/>
              <w:left w:val="nil"/>
              <w:bottom w:val="single" w:color="auto" w:sz="4" w:space="0"/>
              <w:right w:val="single" w:color="auto" w:sz="8"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联系人</w:t>
            </w:r>
          </w:p>
        </w:tc>
        <w:tc>
          <w:tcPr>
            <w:tcW w:w="1349" w:type="pct"/>
            <w:tcBorders>
              <w:top w:val="nil"/>
              <w:left w:val="nil"/>
              <w:bottom w:val="nil"/>
              <w:right w:val="single" w:color="auto" w:sz="4"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481" w:type="pct"/>
            <w:tcBorders>
              <w:top w:val="nil"/>
              <w:left w:val="nil"/>
              <w:bottom w:val="nil"/>
              <w:right w:val="single" w:color="auto" w:sz="4" w:space="0"/>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电话</w:t>
            </w:r>
          </w:p>
        </w:tc>
        <w:tc>
          <w:tcPr>
            <w:tcW w:w="1248" w:type="pct"/>
            <w:tcBorders>
              <w:top w:val="nil"/>
              <w:left w:val="nil"/>
              <w:bottom w:val="nil"/>
              <w:right w:val="single" w:color="auto" w:sz="8" w:space="0"/>
            </w:tcBorders>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xml:space="preserve">   使用单位验收意见：（盖章）</w:t>
            </w:r>
          </w:p>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xml:space="preserve"> 签字：</w:t>
            </w:r>
          </w:p>
        </w:tc>
        <w:tc>
          <w:tcPr>
            <w:tcW w:w="1349" w:type="pct"/>
            <w:tcBorders>
              <w:top w:val="nil"/>
              <w:left w:val="nil"/>
              <w:bottom w:val="nil"/>
              <w:right w:val="nil"/>
            </w:tcBorders>
            <w:noWrap/>
            <w:vAlign w:val="center"/>
          </w:tcPr>
          <w:p>
            <w:pPr>
              <w:widowControl/>
              <w:jc w:val="center"/>
              <w:rPr>
                <w:rFonts w:ascii="仿宋" w:hAnsi="仿宋" w:eastAsia="仿宋" w:cs="仿宋"/>
                <w:b/>
                <w:bCs/>
                <w:color w:val="auto"/>
                <w:kern w:val="0"/>
                <w:sz w:val="24"/>
                <w:highlight w:val="none"/>
              </w:rPr>
            </w:pPr>
          </w:p>
        </w:tc>
        <w:tc>
          <w:tcPr>
            <w:tcW w:w="1481" w:type="pct"/>
            <w:tcBorders>
              <w:top w:val="nil"/>
              <w:left w:val="single" w:color="auto" w:sz="4" w:space="0"/>
              <w:bottom w:val="nil"/>
              <w:right w:val="nil"/>
            </w:tcBorders>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签字：</w:t>
            </w:r>
          </w:p>
        </w:tc>
        <w:tc>
          <w:tcPr>
            <w:tcW w:w="1248" w:type="pct"/>
            <w:tcBorders>
              <w:top w:val="nil"/>
              <w:left w:val="nil"/>
              <w:bottom w:val="nil"/>
              <w:right w:val="single" w:color="auto" w:sz="8" w:space="0"/>
            </w:tcBorders>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　</w:t>
            </w:r>
          </w:p>
        </w:tc>
        <w:tc>
          <w:tcPr>
            <w:tcW w:w="1349" w:type="pct"/>
            <w:tcBorders>
              <w:top w:val="nil"/>
              <w:left w:val="nil"/>
              <w:bottom w:val="single" w:color="auto" w:sz="4" w:space="0"/>
              <w:right w:val="nil"/>
            </w:tcBorders>
            <w:vAlign w:val="bottom"/>
          </w:tcPr>
          <w:p>
            <w:pPr>
              <w:widowControl/>
              <w:jc w:val="righ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年     月   日</w:t>
            </w:r>
          </w:p>
        </w:tc>
        <w:tc>
          <w:tcPr>
            <w:tcW w:w="1481" w:type="pct"/>
            <w:tcBorders>
              <w:top w:val="nil"/>
              <w:left w:val="single" w:color="auto" w:sz="4" w:space="0"/>
              <w:bottom w:val="single" w:color="auto" w:sz="4" w:space="0"/>
              <w:right w:val="nil"/>
            </w:tcBorders>
            <w:noWrap/>
            <w:vAlign w:val="center"/>
          </w:tcPr>
          <w:p>
            <w:pPr>
              <w:widowControl/>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　</w:t>
            </w:r>
          </w:p>
        </w:tc>
        <w:tc>
          <w:tcPr>
            <w:tcW w:w="1248" w:type="pct"/>
            <w:tcBorders>
              <w:top w:val="nil"/>
              <w:left w:val="nil"/>
              <w:bottom w:val="single" w:color="auto" w:sz="4" w:space="0"/>
              <w:right w:val="single" w:color="auto" w:sz="8" w:space="0"/>
            </w:tcBorders>
            <w:vAlign w:val="bottom"/>
          </w:tcPr>
          <w:p>
            <w:pPr>
              <w:widowControl/>
              <w:jc w:val="righ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采购内容请列明品目、规格、型号、数量、单价、总价</w:t>
            </w:r>
          </w:p>
        </w:tc>
      </w:tr>
    </w:tbl>
    <w:p>
      <w:pPr>
        <w:pStyle w:val="25"/>
        <w:rPr>
          <w:rFonts w:ascii="仿宋" w:hAnsi="仿宋" w:eastAsia="仿宋" w:cs="仿宋"/>
          <w:color w:val="auto"/>
          <w:highlight w:val="none"/>
        </w:rPr>
      </w:pPr>
      <w:r>
        <w:rPr>
          <w:rFonts w:hint="eastAsia" w:ascii="仿宋" w:hAnsi="仿宋" w:eastAsia="仿宋" w:cs="仿宋"/>
          <w:color w:val="auto"/>
          <w:sz w:val="24"/>
          <w:highlight w:val="none"/>
        </w:rPr>
        <w:br w:type="page"/>
      </w:r>
    </w:p>
    <w:p>
      <w:pPr>
        <w:pStyle w:val="46"/>
        <w:spacing w:line="360" w:lineRule="auto"/>
        <w:rPr>
          <w:rStyle w:val="204"/>
          <w:rFonts w:ascii="仿宋" w:hAnsi="仿宋" w:eastAsia="仿宋" w:cs="仿宋"/>
          <w:color w:val="auto"/>
          <w:sz w:val="36"/>
          <w:szCs w:val="36"/>
          <w:highlight w:val="none"/>
        </w:rPr>
      </w:pPr>
      <w:bookmarkStart w:id="459" w:name="_Toc58504448"/>
      <w:bookmarkStart w:id="460" w:name="_Toc27662"/>
      <w:r>
        <w:rPr>
          <w:rStyle w:val="204"/>
          <w:rFonts w:hint="eastAsia" w:ascii="仿宋" w:hAnsi="仿宋" w:eastAsia="仿宋" w:cs="仿宋"/>
          <w:color w:val="auto"/>
          <w:sz w:val="36"/>
          <w:szCs w:val="36"/>
          <w:highlight w:val="none"/>
        </w:rPr>
        <w:t>第五章  采购内容及要求</w:t>
      </w:r>
      <w:bookmarkEnd w:id="459"/>
      <w:bookmarkEnd w:id="46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一、项目概况</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绿地国际生态城2期东区1#别墅位于西安市雁鸣三路与白龙池路丁字路口西北角，绿地与湖二期约建于2011年。目前，该栋别墅及围墙出现不均匀沉降并伴有开裂现象，其中别墅沉降较轻，围墙沉降较为严重。白龙池路地基沿延伸方向存在不同厚度的杂填土或填土，地基多次发生不均匀沉降，造成路面开裂。本招标项目绿地国际生态城2期东区1#别墅、围墙及白龙池路</w:t>
      </w:r>
      <w:r>
        <w:rPr>
          <w:rFonts w:hint="eastAsia" w:ascii="仿宋" w:hAnsi="仿宋" w:eastAsia="仿宋" w:cs="仿宋"/>
          <w:snapToGrid w:val="0"/>
          <w:color w:val="auto"/>
          <w:sz w:val="24"/>
          <w:szCs w:val="24"/>
          <w:highlight w:val="none"/>
          <w:lang w:val="en-US" w:eastAsia="zh-CN" w:bidi="ar-SA"/>
        </w:rPr>
        <w:t>（月登阁路以南路段）</w:t>
      </w:r>
      <w:r>
        <w:rPr>
          <w:rFonts w:hint="eastAsia" w:ascii="仿宋" w:hAnsi="仿宋" w:eastAsia="仿宋" w:cs="仿宋"/>
          <w:snapToGrid w:val="0"/>
          <w:color w:val="auto"/>
          <w:spacing w:val="10"/>
          <w:sz w:val="24"/>
          <w:szCs w:val="24"/>
          <w:highlight w:val="none"/>
          <w:lang w:val="en-US" w:eastAsia="zh-CN" w:bidi="ar-SA"/>
        </w:rPr>
        <w:t>安全性检测鉴定项目。</w:t>
      </w:r>
    </w:p>
    <w:p>
      <w:pPr>
        <w:keepNext w:val="0"/>
        <w:keepLines w:val="0"/>
        <w:pageBreakBefore w:val="0"/>
        <w:widowControl w:val="0"/>
        <w:numPr>
          <w:ilvl w:val="0"/>
          <w:numId w:val="0"/>
        </w:numPr>
        <w:tabs>
          <w:tab w:val="left" w:pos="347"/>
        </w:tabs>
        <w:kinsoku/>
        <w:wordWrap/>
        <w:overflowPunct/>
        <w:topLinePunct w:val="0"/>
        <w:autoSpaceDE/>
        <w:autoSpaceDN/>
        <w:bidi w:val="0"/>
        <w:adjustRightInd/>
        <w:snapToGrid/>
        <w:spacing w:line="360" w:lineRule="auto"/>
        <w:ind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二、服务范围和内容</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本项目需针对绿地国际生态城2期东区1#别墅、围墙及白龙池路（月登阁路以南路段）进行安全性检测鉴定。</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1.查明别墅、围墙及道路地基土是否受外来浸水影响；</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2.普查白龙池路地基下方的市政管线有无渗漏情况；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3.对白龙池路不均匀沉降较为明显的地段及近1#别墅附近地基土进行岩土工程钻探及原位测试，了解地基地层，对钻探所取土样进行室内土工试验，查明地层岩土物理力学指标；</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4.综合分析别墅及围墙、白龙池路（月登阁路以南路段）地基不均匀沉降的原因；</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5.对1#别墅进行结构结构检测，承载力评估，安全性鉴定及抗震鉴定，针对建筑物目前的安全性水平及现场发现的问题，指出建筑物中不满足安全性标准及抗震的部位和构件，对具体问题提出解决建议。</w:t>
      </w:r>
      <w:bookmarkStart w:id="461" w:name="bookmark4"/>
      <w:bookmarkEnd w:id="461"/>
      <w:bookmarkStart w:id="462" w:name="bookmark5"/>
      <w:bookmarkEnd w:id="46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三、检测鉴定要求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本招标工程质量标准必须符合中华人民共和国国家标准，如果本文件中规定的执行标准高于国家标准，则按本文件中规定的标准执行，如果低于国家标准，则按国家标准执行。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bookmarkStart w:id="463" w:name="bookmark41"/>
      <w:bookmarkEnd w:id="463"/>
      <w:bookmarkStart w:id="464" w:name="bookmark40"/>
      <w:bookmarkEnd w:id="464"/>
      <w:bookmarkStart w:id="465" w:name="bookmark39"/>
      <w:bookmarkEnd w:id="465"/>
      <w:r>
        <w:rPr>
          <w:rFonts w:hint="eastAsia" w:ascii="仿宋" w:hAnsi="仿宋" w:eastAsia="仿宋" w:cs="仿宋"/>
          <w:snapToGrid w:val="0"/>
          <w:color w:val="auto"/>
          <w:spacing w:val="10"/>
          <w:sz w:val="24"/>
          <w:szCs w:val="24"/>
          <w:highlight w:val="none"/>
          <w:lang w:val="en-US" w:eastAsia="zh-CN" w:bidi="ar-SA"/>
        </w:rPr>
        <w:t>四、规范和标准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4.1 承包商应采用现行最新的规范和标准，包括但不限于：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《岩土工程勘察规范》 (GB50021-2001(2009修订版))；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《土工试验方法标准》 (GB/T 50123-2019)；</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《建筑工程地质勘探与取样技术规程》 （JGJ/T 87-2012)；</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《建筑地基检测技术规范》 （JGJ 340-2015)；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《建筑地基处理技术规范》 （JGJ 79-2012)；</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《民用建筑可靠性鉴定标准》 (GB 50292-2015)；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《既有建筑鉴定与加固通用规范》 （GB55021-2021）；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《建筑抗震鉴定标准》 (GB 50023-2009)；</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《危险房屋鉴定标准》（JGJ 125-2016）；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《建筑结构检测技术标准》 (GB/T 50344-2019)；</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《混凝土结构现场检测技术标准》 (GB/T 50784-2013)；</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《回弹法检测混凝土抗压强度技术规程》 (JGJ/T 23-2011)；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《混凝土中钢筋检测技术标准》 (JGJ/T 152-2019）；</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《砌体工程现场检测技术标准》 (GB/T 50315-2011)；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《贯入法检测砌筑砂浆抗压强度技术规程》 (JGJ136-2017)；</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《建筑变形测量规范》（JGJ/T8-2016）；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《建筑结构荷载规范》（GB50009-2012）；</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《建筑抗震设计规范》 (GB 50011-2010)；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《混凝土结构设计规范》 (GB 50010-2010（2015 年版））；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《混凝土结构工程施工质量验收规范》 (GB 50204-2015)；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国家、陕西省、西安市有关法规、规范、标准等。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4.2 除合同另有约定外，适用的现行规范、标准和规程的最新版本执行。若适用的现行规范、 标准和规程的最新版本是在基准日后颁布的，且相应标准发生变更并成为合同文件中最严格的标准。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4.3 构成合同文件的任何内容与适用的规范、标准和规程之间出现矛盾，承包单位应书面要求招标人予以澄清，除招标人有特别指示外，承包单位应按照最严格的标准执行。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bookmarkStart w:id="466" w:name="bookmark42"/>
      <w:bookmarkEnd w:id="466"/>
      <w:r>
        <w:rPr>
          <w:rFonts w:hint="eastAsia" w:ascii="仿宋" w:hAnsi="仿宋" w:eastAsia="仿宋" w:cs="仿宋"/>
          <w:snapToGrid w:val="0"/>
          <w:color w:val="auto"/>
          <w:spacing w:val="10"/>
          <w:sz w:val="24"/>
          <w:szCs w:val="24"/>
          <w:highlight w:val="none"/>
          <w:lang w:val="en-US" w:eastAsia="zh-CN" w:bidi="ar-SA"/>
        </w:rPr>
        <w:t>五、检测内容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施工期安全影响评估工作内容包括：1#别墅房屋现状结构检测与安全鉴定、围墙结构检测与安全鉴定、1#别墅、围墙及白龙池路（月登阁路以南路段）地基检测。具体内容如下表：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color w:val="auto"/>
          <w:spacing w:val="10"/>
          <w:sz w:val="24"/>
          <w:szCs w:val="24"/>
          <w:highlight w:val="none"/>
          <w:lang w:eastAsia="zh-CN"/>
        </w:rPr>
        <w:sectPr>
          <w:headerReference r:id="rId5" w:type="default"/>
          <w:footerReference r:id="rId6" w:type="default"/>
          <w:pgSz w:w="11906" w:h="16839"/>
          <w:pgMar w:top="1431" w:right="1498" w:bottom="1259" w:left="1475" w:header="0" w:footer="1097" w:gutter="0"/>
          <w:cols w:space="720" w:num="1"/>
        </w:sectPr>
      </w:pPr>
    </w:p>
    <w:tbl>
      <w:tblPr>
        <w:tblStyle w:val="299"/>
        <w:tblW w:w="5029"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246"/>
        <w:gridCol w:w="48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2325"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项目</w:t>
            </w: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具体内容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snapToGrid w:val="0"/>
                <w:color w:val="auto"/>
                <w:kern w:val="0"/>
                <w:sz w:val="24"/>
                <w:szCs w:val="24"/>
                <w:highlight w:val="none"/>
                <w:lang w:eastAsia="zh-CN"/>
              </w:rPr>
              <w:t>1#别墅房屋现状结构检测与安全鉴定</w:t>
            </w: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结构现状调查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基础检测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结构强度检测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截面尺寸检测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钢筋数量检测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混凝土碳化深度检测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裂缝及变形检测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snapToGrid w:val="0"/>
                <w:color w:val="auto"/>
                <w:kern w:val="0"/>
                <w:sz w:val="24"/>
                <w:szCs w:val="24"/>
                <w:highlight w:val="none"/>
                <w:lang w:eastAsia="zh-CN"/>
              </w:rPr>
              <w:t>测量建筑结构侧向位移。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结构验算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安全性分析评定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抗震性能分析评定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snapToGrid w:val="0"/>
                <w:color w:val="auto"/>
                <w:kern w:val="0"/>
                <w:sz w:val="24"/>
                <w:szCs w:val="24"/>
                <w:highlight w:val="none"/>
                <w:lang w:eastAsia="zh-CN"/>
              </w:rPr>
              <w:t>报告编制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snapToGrid w:val="0"/>
                <w:color w:val="auto"/>
                <w:kern w:val="0"/>
                <w:sz w:val="24"/>
                <w:szCs w:val="24"/>
                <w:highlight w:val="none"/>
                <w:lang w:eastAsia="zh-CN"/>
              </w:rPr>
              <w:t>围墙结构检测与安全鉴定</w:t>
            </w:r>
          </w:p>
        </w:tc>
        <w:tc>
          <w:tcPr>
            <w:tcW w:w="2674" w:type="pct"/>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结构现状调查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p>
        </w:tc>
        <w:tc>
          <w:tcPr>
            <w:tcW w:w="2674" w:type="pct"/>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基础检测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p>
        </w:tc>
        <w:tc>
          <w:tcPr>
            <w:tcW w:w="2674" w:type="pct"/>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snapToGrid w:val="0"/>
                <w:color w:val="auto"/>
                <w:kern w:val="0"/>
                <w:sz w:val="24"/>
                <w:szCs w:val="24"/>
                <w:highlight w:val="none"/>
                <w:lang w:eastAsia="zh-CN"/>
              </w:rPr>
              <w:t>墙体材料风化、腐蚀检测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p>
        </w:tc>
        <w:tc>
          <w:tcPr>
            <w:tcW w:w="2674" w:type="pct"/>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zh-CN"/>
              </w:rPr>
              <w:t>砖及砂浆强度</w:t>
            </w:r>
            <w:r>
              <w:rPr>
                <w:rFonts w:hint="eastAsia" w:ascii="仿宋" w:hAnsi="仿宋" w:eastAsia="仿宋" w:cs="仿宋"/>
                <w:snapToGrid w:val="0"/>
                <w:color w:val="auto"/>
                <w:kern w:val="0"/>
                <w:sz w:val="24"/>
                <w:szCs w:val="24"/>
                <w:highlight w:val="none"/>
                <w:lang w:eastAsia="en-US"/>
              </w:rPr>
              <w:t>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p>
        </w:tc>
        <w:tc>
          <w:tcPr>
            <w:tcW w:w="2674" w:type="pct"/>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墙体垂直度测量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p>
        </w:tc>
        <w:tc>
          <w:tcPr>
            <w:tcW w:w="2674" w:type="pct"/>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墙体裂缝检测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p>
        </w:tc>
        <w:tc>
          <w:tcPr>
            <w:tcW w:w="2674" w:type="pct"/>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snapToGrid w:val="0"/>
                <w:color w:val="auto"/>
                <w:kern w:val="0"/>
                <w:sz w:val="24"/>
                <w:szCs w:val="24"/>
                <w:highlight w:val="none"/>
                <w:lang w:eastAsia="zh-CN"/>
              </w:rPr>
              <w:t>承载力评估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p>
        </w:tc>
        <w:tc>
          <w:tcPr>
            <w:tcW w:w="2674" w:type="pct"/>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kern w:val="0"/>
                <w:sz w:val="24"/>
                <w:szCs w:val="24"/>
                <w:highlight w:val="none"/>
                <w:lang w:eastAsia="en-US"/>
              </w:rPr>
              <w:t>安全性分析评定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p>
        </w:tc>
        <w:tc>
          <w:tcPr>
            <w:tcW w:w="2674" w:type="pct"/>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snapToGrid w:val="0"/>
                <w:color w:val="auto"/>
                <w:kern w:val="0"/>
                <w:sz w:val="24"/>
                <w:szCs w:val="24"/>
                <w:highlight w:val="none"/>
                <w:lang w:eastAsia="zh-CN"/>
              </w:rPr>
              <w:t>报告编制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restart"/>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52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snapToGrid w:val="0"/>
                <w:color w:val="auto"/>
                <w:spacing w:val="10"/>
                <w:kern w:val="0"/>
                <w:sz w:val="24"/>
                <w:szCs w:val="24"/>
                <w:highlight w:val="none"/>
                <w:lang w:eastAsia="zh-CN"/>
              </w:rPr>
              <w:t>1#别墅及其围墙附近、白龙池路</w:t>
            </w:r>
            <w:r>
              <w:rPr>
                <w:rFonts w:hint="eastAsia" w:ascii="仿宋" w:hAnsi="仿宋" w:eastAsia="仿宋" w:cs="仿宋"/>
                <w:snapToGrid w:val="0"/>
                <w:color w:val="auto"/>
                <w:kern w:val="0"/>
                <w:sz w:val="24"/>
                <w:szCs w:val="24"/>
                <w:highlight w:val="none"/>
                <w:lang w:eastAsia="zh-CN"/>
              </w:rPr>
              <w:t>（月登阁路以南路段）</w:t>
            </w:r>
            <w:r>
              <w:rPr>
                <w:rFonts w:hint="eastAsia" w:ascii="仿宋" w:hAnsi="仿宋" w:eastAsia="仿宋" w:cs="仿宋"/>
                <w:snapToGrid w:val="0"/>
                <w:color w:val="auto"/>
                <w:spacing w:val="10"/>
                <w:kern w:val="0"/>
                <w:sz w:val="24"/>
                <w:szCs w:val="24"/>
                <w:highlight w:val="none"/>
                <w:lang w:eastAsia="zh-CN"/>
              </w:rPr>
              <w:t>地基检测</w:t>
            </w: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504"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spacing w:val="6"/>
                <w:kern w:val="0"/>
                <w:sz w:val="24"/>
                <w:szCs w:val="24"/>
                <w:highlight w:val="none"/>
                <w:lang w:eastAsia="en-US"/>
              </w:rPr>
              <w:t>工程地质</w:t>
            </w:r>
            <w:r>
              <w:rPr>
                <w:rFonts w:hint="eastAsia" w:ascii="仿宋" w:hAnsi="仿宋" w:eastAsia="仿宋" w:cs="仿宋"/>
                <w:snapToGrid w:val="0"/>
                <w:color w:val="auto"/>
                <w:spacing w:val="3"/>
                <w:kern w:val="0"/>
                <w:sz w:val="24"/>
                <w:szCs w:val="24"/>
                <w:highlight w:val="none"/>
                <w:lang w:eastAsia="en-US"/>
              </w:rPr>
              <w:t>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96"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spacing w:val="4"/>
                <w:kern w:val="0"/>
                <w:sz w:val="24"/>
                <w:szCs w:val="24"/>
                <w:highlight w:val="none"/>
                <w:lang w:eastAsia="en-US"/>
              </w:rPr>
              <w:t>钻探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504"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spacing w:val="6"/>
                <w:kern w:val="0"/>
                <w:sz w:val="24"/>
                <w:szCs w:val="24"/>
                <w:highlight w:val="none"/>
                <w:lang w:eastAsia="en-US"/>
              </w:rPr>
              <w:t>管道探测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508"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spacing w:val="7"/>
                <w:kern w:val="0"/>
                <w:sz w:val="24"/>
                <w:szCs w:val="24"/>
                <w:highlight w:val="none"/>
                <w:lang w:eastAsia="en-US"/>
              </w:rPr>
              <w:t>地球物理</w:t>
            </w:r>
            <w:r>
              <w:rPr>
                <w:rFonts w:hint="eastAsia" w:ascii="仿宋" w:hAnsi="仿宋" w:eastAsia="仿宋" w:cs="仿宋"/>
                <w:snapToGrid w:val="0"/>
                <w:color w:val="auto"/>
                <w:kern w:val="0"/>
                <w:sz w:val="24"/>
                <w:szCs w:val="24"/>
                <w:highlight w:val="none"/>
                <w:lang w:eastAsia="en-US"/>
              </w:rPr>
              <w:t xml:space="preserve"> </w:t>
            </w:r>
            <w:r>
              <w:rPr>
                <w:rFonts w:hint="eastAsia" w:ascii="仿宋" w:hAnsi="仿宋" w:eastAsia="仿宋" w:cs="仿宋"/>
                <w:snapToGrid w:val="0"/>
                <w:color w:val="auto"/>
                <w:spacing w:val="5"/>
                <w:kern w:val="0"/>
                <w:sz w:val="24"/>
                <w:szCs w:val="24"/>
                <w:highlight w:val="none"/>
                <w:lang w:eastAsia="en-US"/>
              </w:rPr>
              <w:t>探测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2325" w:type="pct"/>
            <w:vMerge w:val="continue"/>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504"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spacing w:val="6"/>
                <w:kern w:val="0"/>
                <w:sz w:val="24"/>
                <w:szCs w:val="24"/>
                <w:highlight w:val="none"/>
                <w:lang w:eastAsia="en-US"/>
              </w:rPr>
              <w:t>室内试验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504"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r>
              <w:rPr>
                <w:rFonts w:hint="eastAsia" w:ascii="仿宋" w:hAnsi="仿宋" w:eastAsia="仿宋" w:cs="仿宋"/>
                <w:snapToGrid w:val="0"/>
                <w:color w:val="auto"/>
                <w:spacing w:val="6"/>
                <w:kern w:val="0"/>
                <w:sz w:val="24"/>
                <w:szCs w:val="24"/>
                <w:highlight w:val="none"/>
                <w:lang w:eastAsia="en-US"/>
              </w:rPr>
              <w:t>原位测试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325" w:type="pct"/>
            <w:vMerge w:val="continue"/>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480" w:firstLineChars="200"/>
              <w:jc w:val="center"/>
              <w:textAlignment w:val="baseline"/>
              <w:outlineLvl w:val="9"/>
              <w:rPr>
                <w:rFonts w:hint="eastAsia" w:ascii="仿宋" w:hAnsi="仿宋" w:eastAsia="仿宋" w:cs="仿宋"/>
                <w:snapToGrid w:val="0"/>
                <w:color w:val="auto"/>
                <w:kern w:val="0"/>
                <w:sz w:val="24"/>
                <w:szCs w:val="24"/>
                <w:highlight w:val="none"/>
                <w:lang w:eastAsia="en-US"/>
              </w:rPr>
            </w:pPr>
          </w:p>
        </w:tc>
        <w:tc>
          <w:tcPr>
            <w:tcW w:w="267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Chars="0" w:firstLine="500" w:firstLineChars="200"/>
              <w:jc w:val="center"/>
              <w:textAlignment w:val="baseline"/>
              <w:outlineLvl w:val="9"/>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snapToGrid w:val="0"/>
                <w:color w:val="auto"/>
                <w:spacing w:val="5"/>
                <w:kern w:val="0"/>
                <w:sz w:val="24"/>
                <w:szCs w:val="24"/>
                <w:highlight w:val="none"/>
                <w:lang w:eastAsia="en-US"/>
              </w:rPr>
              <w:t>资料整理</w:t>
            </w:r>
            <w:r>
              <w:rPr>
                <w:rFonts w:hint="eastAsia" w:ascii="仿宋" w:hAnsi="仿宋" w:eastAsia="仿宋" w:cs="仿宋"/>
                <w:snapToGrid w:val="0"/>
                <w:color w:val="auto"/>
                <w:kern w:val="0"/>
                <w:sz w:val="24"/>
                <w:szCs w:val="24"/>
                <w:highlight w:val="none"/>
                <w:lang w:eastAsia="zh-CN"/>
              </w:rPr>
              <w:t>及</w:t>
            </w:r>
            <w:r>
              <w:rPr>
                <w:rFonts w:hint="eastAsia" w:ascii="仿宋" w:hAnsi="仿宋" w:eastAsia="仿宋" w:cs="仿宋"/>
                <w:snapToGrid w:val="0"/>
                <w:color w:val="auto"/>
                <w:spacing w:val="7"/>
                <w:kern w:val="0"/>
                <w:sz w:val="24"/>
                <w:szCs w:val="24"/>
                <w:highlight w:val="none"/>
                <w:lang w:eastAsia="en-US"/>
              </w:rPr>
              <w:t>报告</w:t>
            </w:r>
            <w:r>
              <w:rPr>
                <w:rFonts w:hint="eastAsia" w:ascii="仿宋" w:hAnsi="仿宋" w:eastAsia="仿宋" w:cs="仿宋"/>
                <w:snapToGrid w:val="0"/>
                <w:color w:val="auto"/>
                <w:spacing w:val="7"/>
                <w:kern w:val="0"/>
                <w:sz w:val="24"/>
                <w:szCs w:val="24"/>
                <w:highlight w:val="none"/>
                <w:lang w:eastAsia="zh-CN"/>
              </w:rPr>
              <w:t>编制</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注：表中项目及具体内容供参考，包括但不仅限于上述内容，具体内容应满足评估需求及相关规范要求。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bookmarkStart w:id="467" w:name="bookmark43"/>
      <w:bookmarkEnd w:id="467"/>
      <w:r>
        <w:rPr>
          <w:rFonts w:hint="eastAsia" w:ascii="仿宋" w:hAnsi="仿宋" w:eastAsia="仿宋" w:cs="仿宋"/>
          <w:snapToGrid w:val="0"/>
          <w:color w:val="auto"/>
          <w:spacing w:val="10"/>
          <w:sz w:val="24"/>
          <w:szCs w:val="24"/>
          <w:highlight w:val="none"/>
          <w:lang w:val="en-US" w:eastAsia="zh-CN" w:bidi="ar-SA"/>
        </w:rPr>
        <w:t>六、服务周期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自合同签订后 30 天内提交正式报告并通过专家评审。其中：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0" w:firstLineChars="200"/>
        <w:jc w:val="both"/>
        <w:textAlignment w:val="auto"/>
        <w:outlineLvl w:val="9"/>
        <w:rPr>
          <w:rFonts w:hint="eastAsia" w:ascii="仿宋" w:hAnsi="仿宋" w:eastAsia="仿宋" w:cs="仿宋"/>
          <w:snapToGrid w:val="0"/>
          <w:color w:val="auto"/>
          <w:spacing w:val="10"/>
          <w:sz w:val="24"/>
          <w:szCs w:val="24"/>
          <w:highlight w:val="none"/>
          <w:lang w:val="en-US" w:eastAsia="zh-CN" w:bidi="ar-SA"/>
        </w:rPr>
      </w:pPr>
      <w:r>
        <w:rPr>
          <w:rFonts w:hint="eastAsia" w:ascii="仿宋" w:hAnsi="仿宋" w:eastAsia="仿宋" w:cs="仿宋"/>
          <w:snapToGrid w:val="0"/>
          <w:color w:val="auto"/>
          <w:spacing w:val="10"/>
          <w:sz w:val="24"/>
          <w:szCs w:val="24"/>
          <w:highlight w:val="none"/>
          <w:lang w:val="en-US" w:eastAsia="zh-CN" w:bidi="ar-SA"/>
        </w:rPr>
        <w:t>（1） 自合同签订后 10 天内完成招标范围内房屋、围墙、及道路检测；</w:t>
      </w:r>
    </w:p>
    <w:p>
      <w:pPr>
        <w:keepNext w:val="0"/>
        <w:keepLines w:val="0"/>
        <w:pageBreakBefore w:val="0"/>
        <w:widowControl w:val="0"/>
        <w:kinsoku/>
        <w:wordWrap/>
        <w:overflowPunct/>
        <w:topLinePunct w:val="0"/>
        <w:autoSpaceDE/>
        <w:autoSpaceDN/>
        <w:bidi w:val="0"/>
        <w:adjustRightInd/>
        <w:snapToGrid/>
        <w:spacing w:line="360" w:lineRule="auto"/>
        <w:ind w:leftChars="0" w:firstLine="52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snapToGrid w:val="0"/>
          <w:color w:val="auto"/>
          <w:spacing w:val="10"/>
          <w:sz w:val="24"/>
          <w:szCs w:val="24"/>
          <w:highlight w:val="none"/>
          <w:lang w:val="en-US" w:eastAsia="zh-CN" w:bidi="ar-SA"/>
        </w:rPr>
        <w:t>（2）房屋现状结构检测、围墙、及道路检测完成后 20 天内提供安全鉴定报告。</w:t>
      </w:r>
    </w:p>
    <w:p>
      <w:pPr>
        <w:spacing w:line="360" w:lineRule="auto"/>
        <w:ind w:firstLine="420" w:firstLineChars="200"/>
        <w:rPr>
          <w:rFonts w:ascii="仿宋" w:hAnsi="仿宋" w:eastAsia="仿宋" w:cs="仿宋"/>
          <w:color w:val="auto"/>
          <w:szCs w:val="21"/>
          <w:highlight w:val="none"/>
        </w:rPr>
      </w:pPr>
    </w:p>
    <w:p>
      <w:pPr>
        <w:rPr>
          <w:rStyle w:val="204"/>
          <w:rFonts w:ascii="仿宋" w:hAnsi="仿宋" w:eastAsia="仿宋" w:cs="仿宋"/>
          <w:color w:val="auto"/>
          <w:sz w:val="36"/>
          <w:szCs w:val="36"/>
          <w:highlight w:val="none"/>
        </w:rPr>
      </w:pPr>
      <w:bookmarkStart w:id="468" w:name="_Toc415499899"/>
      <w:bookmarkStart w:id="469" w:name="_Toc31008"/>
      <w:bookmarkStart w:id="470" w:name="_Toc389620241"/>
      <w:bookmarkStart w:id="471" w:name="_Toc58504449"/>
      <w:bookmarkStart w:id="472" w:name="_Toc385992401"/>
      <w:r>
        <w:rPr>
          <w:rStyle w:val="204"/>
          <w:rFonts w:hint="eastAsia" w:ascii="仿宋" w:hAnsi="仿宋" w:eastAsia="仿宋" w:cs="仿宋"/>
          <w:color w:val="auto"/>
          <w:sz w:val="36"/>
          <w:szCs w:val="36"/>
          <w:highlight w:val="none"/>
        </w:rPr>
        <w:br w:type="page"/>
      </w:r>
    </w:p>
    <w:p>
      <w:pPr>
        <w:pStyle w:val="46"/>
        <w:spacing w:line="360" w:lineRule="auto"/>
        <w:rPr>
          <w:rStyle w:val="204"/>
          <w:rFonts w:ascii="仿宋" w:hAnsi="仿宋" w:eastAsia="仿宋" w:cs="仿宋"/>
          <w:color w:val="auto"/>
          <w:sz w:val="36"/>
          <w:szCs w:val="36"/>
          <w:highlight w:val="none"/>
        </w:rPr>
      </w:pPr>
      <w:bookmarkStart w:id="473" w:name="_Toc7006"/>
      <w:r>
        <w:rPr>
          <w:rStyle w:val="204"/>
          <w:rFonts w:hint="eastAsia" w:ascii="仿宋" w:hAnsi="仿宋" w:eastAsia="仿宋" w:cs="仿宋"/>
          <w:color w:val="auto"/>
          <w:sz w:val="36"/>
          <w:szCs w:val="36"/>
          <w:highlight w:val="none"/>
        </w:rPr>
        <w:t>第六章  磋商响应文件格式</w:t>
      </w:r>
      <w:bookmarkEnd w:id="468"/>
      <w:bookmarkEnd w:id="469"/>
      <w:bookmarkEnd w:id="470"/>
      <w:bookmarkEnd w:id="471"/>
      <w:bookmarkEnd w:id="472"/>
      <w:bookmarkEnd w:id="473"/>
    </w:p>
    <w:p>
      <w:pPr>
        <w:pStyle w:val="46"/>
        <w:spacing w:before="0" w:after="0" w:line="360" w:lineRule="auto"/>
        <w:ind w:firstLine="480" w:firstLineChars="200"/>
        <w:jc w:val="left"/>
        <w:outlineLvl w:val="9"/>
        <w:rPr>
          <w:rFonts w:ascii="仿宋" w:hAnsi="仿宋" w:eastAsia="仿宋" w:cs="仿宋"/>
          <w:color w:val="auto"/>
          <w:highlight w:val="none"/>
        </w:rPr>
      </w:pPr>
      <w:bookmarkStart w:id="474" w:name="_Toc32005"/>
      <w:r>
        <w:rPr>
          <w:rFonts w:hint="eastAsia" w:ascii="仿宋" w:hAnsi="仿宋" w:eastAsia="仿宋" w:cs="仿宋"/>
          <w:b w:val="0"/>
          <w:bCs w:val="0"/>
          <w:color w:val="auto"/>
          <w:sz w:val="24"/>
          <w:highlight w:val="none"/>
        </w:rPr>
        <w:t>注：供应商编写的响应文件由“资格证明文件”、“商务及技术文件”两部分组成。供应商应将响应文件“资格证明文件”和“商务及技术文件”分别制作、胶装并密封在两个密封袋（箱）中，并在密封袋（箱）上标明“资格证明文件”和“商务及技术文件”字样，封口处应加盖公章或经法定代表人（或单位负责人）签字或盖章。</w:t>
      </w:r>
      <w:r>
        <w:rPr>
          <w:rFonts w:hint="eastAsia" w:ascii="仿宋" w:hAnsi="仿宋" w:eastAsia="仿宋" w:cs="仿宋"/>
          <w:color w:val="auto"/>
          <w:highlight w:val="none"/>
        </w:rPr>
        <w:br w:type="page"/>
      </w:r>
      <w:bookmarkEnd w:id="474"/>
      <w:r>
        <w:rPr>
          <w:rFonts w:hint="eastAsia" w:ascii="仿宋" w:hAnsi="仿宋" w:eastAsia="仿宋" w:cs="仿宋"/>
          <w:color w:val="auto"/>
          <w:highlight w:val="none"/>
        </w:rPr>
        <w:t xml:space="preserve">                                 </w:t>
      </w:r>
    </w:p>
    <w:p>
      <w:pPr>
        <w:pStyle w:val="159"/>
        <w:ind w:firstLine="6586" w:firstLineChars="2050"/>
        <w:rPr>
          <w:rFonts w:ascii="仿宋" w:hAnsi="仿宋" w:eastAsia="仿宋" w:cs="仿宋"/>
          <w:bCs/>
          <w:color w:val="auto"/>
          <w:highlight w:val="none"/>
          <w:lang w:val="zh-CN"/>
        </w:rPr>
      </w:pPr>
      <w:bookmarkStart w:id="475" w:name="_Toc62196433"/>
      <w:r>
        <w:rPr>
          <w:rFonts w:hint="eastAsia" w:ascii="仿宋" w:hAnsi="仿宋" w:eastAsia="仿宋" w:cs="仿宋"/>
          <w:color w:val="auto"/>
          <w:highlight w:val="none"/>
          <w:lang w:val="zh-CN"/>
        </w:rPr>
        <w:t>正本/副本</w:t>
      </w:r>
      <w:bookmarkEnd w:id="475"/>
    </w:p>
    <w:p>
      <w:pPr>
        <w:autoSpaceDE w:val="0"/>
        <w:autoSpaceDN w:val="0"/>
        <w:adjustRightInd w:val="0"/>
        <w:snapToGrid w:val="0"/>
        <w:spacing w:line="360" w:lineRule="auto"/>
        <w:jc w:val="left"/>
        <w:rPr>
          <w:rFonts w:ascii="仿宋" w:hAnsi="仿宋" w:eastAsia="仿宋" w:cs="仿宋"/>
          <w:b/>
          <w:bCs/>
          <w:color w:val="auto"/>
          <w:sz w:val="32"/>
          <w:szCs w:val="32"/>
          <w:highlight w:val="none"/>
          <w:lang w:val="zh-CN"/>
        </w:rPr>
      </w:pPr>
    </w:p>
    <w:p>
      <w:pPr>
        <w:autoSpaceDE w:val="0"/>
        <w:autoSpaceDN w:val="0"/>
        <w:adjustRightInd w:val="0"/>
        <w:snapToGrid w:val="0"/>
        <w:spacing w:line="360" w:lineRule="auto"/>
        <w:jc w:val="left"/>
        <w:rPr>
          <w:rFonts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政府采购项目</w:t>
      </w:r>
    </w:p>
    <w:p>
      <w:pPr>
        <w:autoSpaceDE w:val="0"/>
        <w:autoSpaceDN w:val="0"/>
        <w:adjustRightInd w:val="0"/>
        <w:snapToGrid w:val="0"/>
        <w:spacing w:line="360" w:lineRule="auto"/>
        <w:jc w:val="left"/>
        <w:rPr>
          <w:rFonts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采购项目编号：SCZC2023-CS-1763-001</w:t>
      </w:r>
    </w:p>
    <w:p>
      <w:pPr>
        <w:tabs>
          <w:tab w:val="left" w:pos="5670"/>
        </w:tabs>
        <w:autoSpaceDE w:val="0"/>
        <w:autoSpaceDN w:val="0"/>
        <w:adjustRightInd w:val="0"/>
        <w:snapToGrid w:val="0"/>
        <w:spacing w:line="360" w:lineRule="auto"/>
        <w:jc w:val="center"/>
        <w:rPr>
          <w:rFonts w:ascii="仿宋" w:hAnsi="仿宋" w:eastAsia="仿宋" w:cs="仿宋"/>
          <w:color w:val="auto"/>
          <w:sz w:val="19"/>
          <w:szCs w:val="19"/>
          <w:highlight w:val="none"/>
        </w:rPr>
      </w:pPr>
    </w:p>
    <w:p>
      <w:pPr>
        <w:tabs>
          <w:tab w:val="left" w:pos="5670"/>
        </w:tabs>
        <w:autoSpaceDE w:val="0"/>
        <w:autoSpaceDN w:val="0"/>
        <w:adjustRightInd w:val="0"/>
        <w:snapToGrid w:val="0"/>
        <w:spacing w:line="360" w:lineRule="auto"/>
        <w:jc w:val="center"/>
        <w:rPr>
          <w:rFonts w:ascii="仿宋" w:hAnsi="仿宋" w:eastAsia="仿宋" w:cs="仿宋"/>
          <w:color w:val="auto"/>
          <w:sz w:val="19"/>
          <w:szCs w:val="19"/>
          <w:highlight w:val="none"/>
        </w:rPr>
      </w:pPr>
    </w:p>
    <w:p>
      <w:pPr>
        <w:tabs>
          <w:tab w:val="left" w:pos="5670"/>
        </w:tabs>
        <w:autoSpaceDE w:val="0"/>
        <w:autoSpaceDN w:val="0"/>
        <w:adjustRightInd w:val="0"/>
        <w:snapToGrid w:val="0"/>
        <w:spacing w:line="360" w:lineRule="auto"/>
        <w:jc w:val="center"/>
        <w:rPr>
          <w:rFonts w:ascii="仿宋" w:hAnsi="仿宋" w:eastAsia="仿宋" w:cs="仿宋"/>
          <w:color w:val="auto"/>
          <w:sz w:val="19"/>
          <w:szCs w:val="19"/>
          <w:highlight w:val="none"/>
        </w:rPr>
      </w:pPr>
    </w:p>
    <w:p>
      <w:pPr>
        <w:autoSpaceDE w:val="0"/>
        <w:autoSpaceDN w:val="0"/>
        <w:adjustRightInd w:val="0"/>
        <w:snapToGrid w:val="0"/>
        <w:spacing w:line="360" w:lineRule="auto"/>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西安浐灞生态区绿地生态城2期东区1#别墅、围墙及白龙池路安全性检测鉴定项目</w:t>
      </w:r>
    </w:p>
    <w:p>
      <w:pPr>
        <w:tabs>
          <w:tab w:val="left" w:pos="5670"/>
        </w:tabs>
        <w:autoSpaceDE w:val="0"/>
        <w:autoSpaceDN w:val="0"/>
        <w:adjustRightInd w:val="0"/>
        <w:snapToGrid w:val="0"/>
        <w:spacing w:line="360" w:lineRule="auto"/>
        <w:jc w:val="center"/>
        <w:rPr>
          <w:rFonts w:ascii="仿宋" w:hAnsi="仿宋" w:eastAsia="仿宋" w:cs="仿宋"/>
          <w:b/>
          <w:bCs/>
          <w:color w:val="auto"/>
          <w:sz w:val="52"/>
          <w:szCs w:val="52"/>
          <w:highlight w:val="none"/>
          <w:lang w:val="zh-CN"/>
        </w:rPr>
      </w:pPr>
    </w:p>
    <w:p>
      <w:pPr>
        <w:tabs>
          <w:tab w:val="left" w:pos="5670"/>
        </w:tabs>
        <w:autoSpaceDE w:val="0"/>
        <w:autoSpaceDN w:val="0"/>
        <w:adjustRightInd w:val="0"/>
        <w:snapToGrid w:val="0"/>
        <w:spacing w:line="360" w:lineRule="auto"/>
        <w:jc w:val="center"/>
        <w:rPr>
          <w:rFonts w:ascii="仿宋" w:hAnsi="仿宋" w:eastAsia="仿宋" w:cs="仿宋"/>
          <w:b/>
          <w:bCs/>
          <w:color w:val="auto"/>
          <w:sz w:val="52"/>
          <w:szCs w:val="52"/>
          <w:highlight w:val="none"/>
          <w:lang w:val="zh-CN"/>
        </w:rPr>
      </w:pPr>
      <w:r>
        <w:rPr>
          <w:rFonts w:hint="eastAsia" w:ascii="仿宋" w:hAnsi="仿宋" w:eastAsia="仿宋" w:cs="仿宋"/>
          <w:b/>
          <w:bCs/>
          <w:color w:val="auto"/>
          <w:sz w:val="52"/>
          <w:szCs w:val="52"/>
          <w:highlight w:val="none"/>
          <w:lang w:val="zh-CN"/>
        </w:rPr>
        <w:t>磋商响应文件</w:t>
      </w:r>
    </w:p>
    <w:p>
      <w:pPr>
        <w:pStyle w:val="196"/>
        <w:ind w:firstLine="2891" w:firstLineChars="1200"/>
        <w:rPr>
          <w:rFonts w:ascii="仿宋" w:hAnsi="仿宋" w:eastAsia="仿宋" w:cs="仿宋"/>
          <w:b/>
          <w:color w:val="auto"/>
          <w:sz w:val="30"/>
          <w:szCs w:val="30"/>
          <w:highlight w:val="none"/>
        </w:rPr>
      </w:pPr>
      <w:r>
        <w:rPr>
          <w:rFonts w:hint="eastAsia" w:ascii="仿宋" w:hAnsi="仿宋" w:eastAsia="仿宋" w:cs="仿宋"/>
          <w:b/>
          <w:bCs/>
          <w:color w:val="auto"/>
          <w:highlight w:val="none"/>
          <w:lang w:val="zh-CN"/>
        </w:rPr>
        <w:t xml:space="preserve"> </w:t>
      </w:r>
      <w:r>
        <w:rPr>
          <w:rFonts w:hint="eastAsia" w:ascii="仿宋" w:hAnsi="仿宋" w:eastAsia="仿宋" w:cs="仿宋"/>
          <w:b/>
          <w:color w:val="auto"/>
          <w:sz w:val="30"/>
          <w:szCs w:val="30"/>
          <w:highlight w:val="none"/>
        </w:rPr>
        <w:t>（资格证明文件）</w:t>
      </w:r>
    </w:p>
    <w:p>
      <w:pPr>
        <w:rPr>
          <w:rFonts w:ascii="仿宋" w:hAnsi="仿宋" w:eastAsia="仿宋" w:cs="仿宋"/>
          <w:color w:val="auto"/>
          <w:highlight w:val="none"/>
        </w:rPr>
      </w:pPr>
    </w:p>
    <w:p>
      <w:pPr>
        <w:pStyle w:val="25"/>
        <w:rPr>
          <w:rFonts w:ascii="仿宋" w:hAnsi="仿宋" w:eastAsia="仿宋" w:cs="仿宋"/>
          <w:color w:val="auto"/>
          <w:highlight w:val="none"/>
        </w:rPr>
      </w:pPr>
    </w:p>
    <w:p>
      <w:pPr>
        <w:pStyle w:val="25"/>
        <w:rPr>
          <w:rFonts w:ascii="仿宋" w:hAnsi="仿宋" w:eastAsia="仿宋" w:cs="仿宋"/>
          <w:color w:val="auto"/>
          <w:highlight w:val="none"/>
        </w:rPr>
      </w:pPr>
    </w:p>
    <w:p>
      <w:pPr>
        <w:pStyle w:val="25"/>
        <w:rPr>
          <w:rFonts w:ascii="仿宋" w:hAnsi="仿宋" w:eastAsia="仿宋" w:cs="仿宋"/>
          <w:color w:val="auto"/>
          <w:highlight w:val="none"/>
        </w:rPr>
      </w:pPr>
    </w:p>
    <w:p>
      <w:pPr>
        <w:autoSpaceDE w:val="0"/>
        <w:autoSpaceDN w:val="0"/>
        <w:adjustRightInd w:val="0"/>
        <w:snapToGrid w:val="0"/>
        <w:spacing w:line="360" w:lineRule="auto"/>
        <w:rPr>
          <w:rFonts w:ascii="仿宋" w:hAnsi="仿宋" w:eastAsia="仿宋" w:cs="仿宋"/>
          <w:b/>
          <w:bCs/>
          <w:color w:val="auto"/>
          <w:sz w:val="32"/>
          <w:szCs w:val="32"/>
          <w:highlight w:val="none"/>
          <w:lang w:val="zh-CN"/>
        </w:rPr>
      </w:pPr>
    </w:p>
    <w:p>
      <w:pPr>
        <w:autoSpaceDE w:val="0"/>
        <w:autoSpaceDN w:val="0"/>
        <w:adjustRightInd w:val="0"/>
        <w:snapToGrid w:val="0"/>
        <w:spacing w:line="360" w:lineRule="auto"/>
        <w:rPr>
          <w:rFonts w:ascii="仿宋" w:hAnsi="仿宋" w:eastAsia="仿宋" w:cs="仿宋"/>
          <w:color w:val="auto"/>
          <w:sz w:val="30"/>
          <w:szCs w:val="30"/>
          <w:highlight w:val="none"/>
        </w:rPr>
      </w:pPr>
    </w:p>
    <w:p>
      <w:pPr>
        <w:autoSpaceDE w:val="0"/>
        <w:autoSpaceDN w:val="0"/>
        <w:adjustRightInd w:val="0"/>
        <w:snapToGrid w:val="0"/>
        <w:spacing w:line="360" w:lineRule="auto"/>
        <w:rPr>
          <w:rFonts w:ascii="仿宋" w:hAnsi="仿宋" w:eastAsia="仿宋" w:cs="仿宋"/>
          <w:b/>
          <w:bCs/>
          <w:color w:val="auto"/>
          <w:sz w:val="32"/>
          <w:szCs w:val="32"/>
          <w:highlight w:val="none"/>
          <w:u w:val="single"/>
        </w:rPr>
      </w:pPr>
      <w:r>
        <w:rPr>
          <w:rFonts w:hint="eastAsia" w:ascii="仿宋" w:hAnsi="仿宋" w:eastAsia="仿宋" w:cs="仿宋"/>
          <w:color w:val="auto"/>
          <w:sz w:val="30"/>
          <w:szCs w:val="30"/>
          <w:highlight w:val="none"/>
        </w:rPr>
        <w:t xml:space="preserve">      </w:t>
      </w:r>
      <w:r>
        <w:rPr>
          <w:rFonts w:hint="eastAsia" w:ascii="仿宋" w:hAnsi="仿宋" w:eastAsia="仿宋" w:cs="仿宋"/>
          <w:b/>
          <w:bCs/>
          <w:color w:val="auto"/>
          <w:sz w:val="32"/>
          <w:szCs w:val="32"/>
          <w:highlight w:val="none"/>
          <w:lang w:val="zh-CN"/>
        </w:rPr>
        <w:t>供应商：</w:t>
      </w:r>
      <w:r>
        <w:rPr>
          <w:rFonts w:hint="eastAsia" w:ascii="仿宋" w:hAnsi="仿宋" w:eastAsia="仿宋" w:cs="仿宋"/>
          <w:b/>
          <w:bCs/>
          <w:color w:val="auto"/>
          <w:sz w:val="32"/>
          <w:szCs w:val="32"/>
          <w:highlight w:val="none"/>
          <w:u w:val="single"/>
        </w:rPr>
        <w:t xml:space="preserve">                   </w:t>
      </w:r>
    </w:p>
    <w:p>
      <w:pPr>
        <w:autoSpaceDE w:val="0"/>
        <w:autoSpaceDN w:val="0"/>
        <w:adjustRightInd w:val="0"/>
        <w:snapToGrid w:val="0"/>
        <w:spacing w:line="360" w:lineRule="auto"/>
        <w:rPr>
          <w:rFonts w:ascii="仿宋" w:hAnsi="仿宋" w:eastAsia="仿宋" w:cs="仿宋"/>
          <w:b/>
          <w:bCs/>
          <w:color w:val="auto"/>
          <w:sz w:val="32"/>
          <w:szCs w:val="32"/>
          <w:highlight w:val="none"/>
        </w:rPr>
      </w:pPr>
    </w:p>
    <w:p>
      <w:pPr>
        <w:autoSpaceDE w:val="0"/>
        <w:autoSpaceDN w:val="0"/>
        <w:adjustRightInd w:val="0"/>
        <w:snapToGrid w:val="0"/>
        <w:spacing w:line="360" w:lineRule="auto"/>
        <w:ind w:firstLine="964" w:firstLineChars="300"/>
        <w:rPr>
          <w:rFonts w:ascii="仿宋" w:hAnsi="仿宋" w:eastAsia="仿宋" w:cs="仿宋"/>
          <w:b/>
          <w:bCs/>
          <w:color w:val="auto"/>
          <w:sz w:val="32"/>
          <w:szCs w:val="32"/>
          <w:highlight w:val="none"/>
          <w:u w:val="single"/>
        </w:rPr>
      </w:pPr>
      <w:r>
        <w:rPr>
          <w:rFonts w:hint="eastAsia" w:ascii="仿宋" w:hAnsi="仿宋" w:eastAsia="仿宋" w:cs="仿宋"/>
          <w:b/>
          <w:bCs/>
          <w:color w:val="auto"/>
          <w:sz w:val="32"/>
          <w:szCs w:val="32"/>
          <w:highlight w:val="none"/>
          <w:lang w:val="zh-CN"/>
        </w:rPr>
        <w:t>时</w:t>
      </w:r>
      <w:r>
        <w:rPr>
          <w:rFonts w:hint="eastAsia" w:ascii="仿宋" w:hAnsi="仿宋" w:eastAsia="仿宋" w:cs="仿宋"/>
          <w:b/>
          <w:bCs/>
          <w:color w:val="auto"/>
          <w:sz w:val="32"/>
          <w:szCs w:val="32"/>
          <w:highlight w:val="none"/>
        </w:rPr>
        <w:t xml:space="preserve">  </w:t>
      </w:r>
      <w:r>
        <w:rPr>
          <w:rFonts w:hint="eastAsia" w:ascii="仿宋" w:hAnsi="仿宋" w:eastAsia="仿宋" w:cs="仿宋"/>
          <w:b/>
          <w:bCs/>
          <w:color w:val="auto"/>
          <w:sz w:val="32"/>
          <w:szCs w:val="32"/>
          <w:highlight w:val="none"/>
          <w:lang w:val="zh-CN"/>
        </w:rPr>
        <w:t>间：</w:t>
      </w:r>
      <w:r>
        <w:rPr>
          <w:rFonts w:hint="eastAsia" w:ascii="仿宋" w:hAnsi="仿宋" w:eastAsia="仿宋" w:cs="仿宋"/>
          <w:b/>
          <w:bCs/>
          <w:color w:val="auto"/>
          <w:sz w:val="32"/>
          <w:szCs w:val="32"/>
          <w:highlight w:val="none"/>
          <w:u w:val="single"/>
        </w:rPr>
        <w:t xml:space="preserve">  </w:t>
      </w:r>
    </w:p>
    <w:p>
      <w:pPr>
        <w:rPr>
          <w:rFonts w:ascii="仿宋" w:hAnsi="仿宋" w:eastAsia="仿宋" w:cs="仿宋"/>
          <w:b/>
          <w:bCs/>
          <w:color w:val="auto"/>
          <w:highlight w:val="none"/>
        </w:rPr>
      </w:pPr>
      <w:r>
        <w:rPr>
          <w:rFonts w:hint="eastAsia" w:ascii="仿宋" w:hAnsi="仿宋" w:eastAsia="仿宋" w:cs="仿宋"/>
          <w:b/>
          <w:bCs/>
          <w:color w:val="auto"/>
          <w:highlight w:val="none"/>
        </w:rPr>
        <w:br w:type="page"/>
      </w:r>
    </w:p>
    <w:p>
      <w:pPr>
        <w:pStyle w:val="5"/>
        <w:jc w:val="center"/>
        <w:rPr>
          <w:rFonts w:ascii="仿宋" w:hAnsi="仿宋" w:eastAsia="仿宋" w:cs="仿宋"/>
          <w:b/>
          <w:bCs/>
          <w:color w:val="auto"/>
          <w:highlight w:val="none"/>
        </w:rPr>
      </w:pPr>
      <w:bookmarkStart w:id="476" w:name="_Toc30912"/>
      <w:r>
        <w:rPr>
          <w:rFonts w:hint="eastAsia" w:ascii="仿宋" w:hAnsi="仿宋" w:eastAsia="仿宋" w:cs="仿宋"/>
          <w:b/>
          <w:bCs/>
          <w:color w:val="auto"/>
          <w:highlight w:val="none"/>
        </w:rPr>
        <w:t>第一部分  身份证明文件</w:t>
      </w:r>
      <w:bookmarkEnd w:id="476"/>
    </w:p>
    <w:p>
      <w:pPr>
        <w:spacing w:after="120"/>
        <w:rPr>
          <w:rFonts w:ascii="仿宋" w:hAnsi="仿宋" w:eastAsia="仿宋" w:cs="仿宋"/>
          <w:color w:val="auto"/>
          <w:highlight w:val="none"/>
        </w:rPr>
      </w:pPr>
    </w:p>
    <w:p>
      <w:pPr>
        <w:widowControl/>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zh-CN"/>
        </w:rPr>
        <w:t>1、法定代表人（或单位负责人）授权</w:t>
      </w:r>
      <w:r>
        <w:rPr>
          <w:rFonts w:hint="eastAsia" w:ascii="仿宋" w:hAnsi="仿宋" w:eastAsia="仿宋" w:cs="仿宋"/>
          <w:b/>
          <w:bCs/>
          <w:color w:val="auto"/>
          <w:sz w:val="28"/>
          <w:szCs w:val="28"/>
          <w:highlight w:val="none"/>
        </w:rPr>
        <w:t>委托</w:t>
      </w:r>
      <w:r>
        <w:rPr>
          <w:rFonts w:hint="eastAsia" w:ascii="仿宋" w:hAnsi="仿宋" w:eastAsia="仿宋" w:cs="仿宋"/>
          <w:b/>
          <w:bCs/>
          <w:color w:val="auto"/>
          <w:sz w:val="28"/>
          <w:szCs w:val="28"/>
          <w:highlight w:val="none"/>
          <w:lang w:val="zh-CN"/>
        </w:rPr>
        <w:t>书</w:t>
      </w:r>
    </w:p>
    <w:p>
      <w:pPr>
        <w:autoSpaceDE w:val="0"/>
        <w:autoSpaceDN w:val="0"/>
        <w:adjustRightInd w:val="0"/>
        <w:spacing w:line="348" w:lineRule="auto"/>
        <w:ind w:firstLine="400"/>
        <w:rPr>
          <w:rFonts w:ascii="仿宋" w:hAnsi="仿宋" w:eastAsia="仿宋" w:cs="仿宋"/>
          <w:b/>
          <w:bCs/>
          <w:color w:val="auto"/>
          <w:sz w:val="20"/>
          <w:highlight w:val="none"/>
        </w:rPr>
      </w:pPr>
    </w:p>
    <w:p>
      <w:pPr>
        <w:autoSpaceDE w:val="0"/>
        <w:autoSpaceDN w:val="0"/>
        <w:adjustRightInd w:val="0"/>
        <w:spacing w:line="348" w:lineRule="auto"/>
        <w:rPr>
          <w:rFonts w:ascii="仿宋" w:hAnsi="仿宋" w:eastAsia="仿宋" w:cs="仿宋"/>
          <w:color w:val="auto"/>
          <w:sz w:val="24"/>
          <w:highlight w:val="none"/>
        </w:rPr>
      </w:pPr>
      <w:r>
        <w:rPr>
          <w:rFonts w:hint="eastAsia" w:ascii="仿宋" w:hAnsi="仿宋" w:eastAsia="仿宋" w:cs="仿宋"/>
          <w:color w:val="auto"/>
          <w:sz w:val="24"/>
          <w:highlight w:val="none"/>
          <w:lang w:val="zh-CN"/>
        </w:rPr>
        <w:t>陕西省采购招标有限责任公司：</w:t>
      </w:r>
    </w:p>
    <w:p>
      <w:pPr>
        <w:autoSpaceDE w:val="0"/>
        <w:autoSpaceDN w:val="0"/>
        <w:adjustRightInd w:val="0"/>
        <w:spacing w:line="348" w:lineRule="auto"/>
        <w:ind w:firstLine="640"/>
        <w:rPr>
          <w:rFonts w:ascii="仿宋" w:hAnsi="仿宋" w:eastAsia="仿宋" w:cs="仿宋"/>
          <w:color w:val="auto"/>
          <w:sz w:val="24"/>
          <w:highlight w:val="none"/>
        </w:rPr>
      </w:pPr>
      <w:r>
        <w:rPr>
          <w:rFonts w:hint="eastAsia" w:ascii="仿宋" w:hAnsi="仿宋" w:eastAsia="仿宋" w:cs="仿宋"/>
          <w:color w:val="auto"/>
          <w:sz w:val="24"/>
          <w:highlight w:val="none"/>
          <w:lang w:val="zh-CN"/>
        </w:rPr>
        <w:t>注册于</w:t>
      </w:r>
      <w:r>
        <w:rPr>
          <w:rFonts w:hint="eastAsia" w:ascii="仿宋" w:hAnsi="仿宋" w:eastAsia="仿宋" w:cs="仿宋"/>
          <w:color w:val="auto"/>
          <w:sz w:val="24"/>
          <w:highlight w:val="none"/>
          <w:u w:val="single"/>
          <w:lang w:val="zh-CN"/>
        </w:rPr>
        <w:t>（工商行政管理局名称）</w:t>
      </w:r>
      <w:r>
        <w:rPr>
          <w:rFonts w:hint="eastAsia" w:ascii="仿宋" w:hAnsi="仿宋" w:eastAsia="仿宋" w:cs="仿宋"/>
          <w:color w:val="auto"/>
          <w:sz w:val="24"/>
          <w:highlight w:val="none"/>
          <w:lang w:val="zh-CN"/>
        </w:rPr>
        <w:t>之</w:t>
      </w:r>
      <w:r>
        <w:rPr>
          <w:rFonts w:hint="eastAsia" w:ascii="仿宋" w:hAnsi="仿宋" w:eastAsia="仿宋" w:cs="仿宋"/>
          <w:color w:val="auto"/>
          <w:sz w:val="24"/>
          <w:highlight w:val="none"/>
          <w:u w:val="single"/>
          <w:lang w:val="zh-CN"/>
        </w:rPr>
        <w:t>（供应商全称）</w:t>
      </w:r>
      <w:r>
        <w:rPr>
          <w:rFonts w:hint="eastAsia" w:ascii="仿宋" w:hAnsi="仿宋" w:eastAsia="仿宋" w:cs="仿宋"/>
          <w:color w:val="auto"/>
          <w:sz w:val="24"/>
          <w:highlight w:val="none"/>
          <w:lang w:val="zh-CN"/>
        </w:rPr>
        <w:t>法人代表</w:t>
      </w:r>
      <w:r>
        <w:rPr>
          <w:rFonts w:hint="eastAsia" w:ascii="仿宋" w:hAnsi="仿宋" w:eastAsia="仿宋" w:cs="仿宋"/>
          <w:color w:val="auto"/>
          <w:sz w:val="24"/>
          <w:highlight w:val="none"/>
          <w:u w:val="single"/>
          <w:lang w:val="zh-CN"/>
        </w:rPr>
        <w:t>（姓名、职务）</w:t>
      </w:r>
      <w:r>
        <w:rPr>
          <w:rFonts w:hint="eastAsia" w:ascii="仿宋" w:hAnsi="仿宋" w:eastAsia="仿宋" w:cs="仿宋"/>
          <w:color w:val="auto"/>
          <w:sz w:val="24"/>
          <w:highlight w:val="none"/>
          <w:lang w:val="zh-CN"/>
        </w:rPr>
        <w:t>授权</w:t>
      </w:r>
      <w:r>
        <w:rPr>
          <w:rFonts w:hint="eastAsia" w:ascii="仿宋" w:hAnsi="仿宋" w:eastAsia="仿宋" w:cs="仿宋"/>
          <w:color w:val="auto"/>
          <w:sz w:val="24"/>
          <w:highlight w:val="none"/>
          <w:u w:val="single"/>
          <w:lang w:val="zh-CN"/>
        </w:rPr>
        <w:t>（被授权人姓名、职务）</w:t>
      </w:r>
      <w:r>
        <w:rPr>
          <w:rFonts w:hint="eastAsia" w:ascii="仿宋" w:hAnsi="仿宋" w:eastAsia="仿宋" w:cs="仿宋"/>
          <w:color w:val="auto"/>
          <w:sz w:val="24"/>
          <w:highlight w:val="none"/>
          <w:lang w:val="zh-CN"/>
        </w:rPr>
        <w:t>为本公司的合法代理人，就</w:t>
      </w:r>
      <w:r>
        <w:rPr>
          <w:rFonts w:hint="eastAsia" w:ascii="仿宋" w:hAnsi="仿宋" w:eastAsia="仿宋" w:cs="仿宋"/>
          <w:color w:val="auto"/>
          <w:sz w:val="24"/>
          <w:highlight w:val="none"/>
          <w:u w:val="single"/>
          <w:lang w:val="zh-CN"/>
        </w:rPr>
        <w:t>西安浐灞生态区绿地生态城2期东区1#别墅、围墙及白龙池路安全性检测鉴定项目（项目编号：SCZC2023-CS-1763-001）</w:t>
      </w:r>
      <w:r>
        <w:rPr>
          <w:rFonts w:hint="eastAsia" w:ascii="仿宋" w:hAnsi="仿宋" w:eastAsia="仿宋" w:cs="仿宋"/>
          <w:color w:val="auto"/>
          <w:sz w:val="24"/>
          <w:highlight w:val="none"/>
          <w:lang w:val="zh-CN"/>
        </w:rPr>
        <w:t>的磋商及合同的执行和完成，以本公司的名义处理一切与之有关的事宜。</w:t>
      </w:r>
    </w:p>
    <w:p>
      <w:pPr>
        <w:snapToGrid w:val="0"/>
        <w:spacing w:line="360" w:lineRule="auto"/>
        <w:ind w:firstLine="480" w:firstLineChars="200"/>
        <w:rPr>
          <w:rFonts w:ascii="仿宋" w:hAnsi="仿宋" w:eastAsia="仿宋" w:cs="仿宋"/>
          <w:b/>
          <w:bCs/>
          <w:color w:val="auto"/>
          <w:sz w:val="24"/>
          <w:highlight w:val="none"/>
          <w:lang w:val="zh-CN"/>
        </w:rPr>
      </w:pPr>
      <w:r>
        <w:rPr>
          <w:rFonts w:hint="eastAsia" w:ascii="仿宋" w:hAnsi="仿宋" w:eastAsia="仿宋" w:cs="仿宋"/>
          <w:color w:val="auto"/>
          <w:sz w:val="24"/>
          <w:highlight w:val="none"/>
          <w:lang w:val="zh-CN"/>
        </w:rPr>
        <w:t>本授权自    年   月  日起生效。（</w:t>
      </w:r>
      <w:r>
        <w:rPr>
          <w:rFonts w:hint="eastAsia" w:ascii="仿宋" w:hAnsi="仿宋" w:eastAsia="仿宋" w:cs="仿宋"/>
          <w:b/>
          <w:color w:val="auto"/>
          <w:sz w:val="24"/>
          <w:highlight w:val="none"/>
          <w:lang w:val="zh-CN"/>
        </w:rPr>
        <w:t>提示：此日期不应晚于磋商响应函签署日期</w:t>
      </w:r>
      <w:r>
        <w:rPr>
          <w:rFonts w:hint="eastAsia" w:ascii="仿宋" w:hAnsi="仿宋" w:eastAsia="仿宋" w:cs="仿宋"/>
          <w:color w:val="auto"/>
          <w:sz w:val="24"/>
          <w:highlight w:val="none"/>
          <w:lang w:val="zh-CN"/>
        </w:rPr>
        <w:t>）</w:t>
      </w:r>
    </w:p>
    <w:p>
      <w:pPr>
        <w:autoSpaceDE w:val="0"/>
        <w:autoSpaceDN w:val="0"/>
        <w:adjustRightInd w:val="0"/>
        <w:spacing w:line="348" w:lineRule="auto"/>
        <w:rPr>
          <w:rFonts w:ascii="仿宋" w:hAnsi="仿宋" w:eastAsia="仿宋" w:cs="仿宋"/>
          <w:color w:val="auto"/>
          <w:sz w:val="24"/>
          <w:highlight w:val="none"/>
        </w:rPr>
      </w:pPr>
    </w:p>
    <w:p>
      <w:pPr>
        <w:autoSpaceDE w:val="0"/>
        <w:autoSpaceDN w:val="0"/>
        <w:adjustRightInd w:val="0"/>
        <w:spacing w:line="348"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lang w:val="zh-CN"/>
        </w:rPr>
        <w:t>附：被授权人姓名：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性别：</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年龄：</w:t>
      </w:r>
      <w:r>
        <w:rPr>
          <w:rFonts w:hint="eastAsia" w:ascii="仿宋" w:hAnsi="仿宋" w:eastAsia="仿宋" w:cs="仿宋"/>
          <w:color w:val="auto"/>
          <w:sz w:val="24"/>
          <w:highlight w:val="none"/>
          <w:u w:val="single"/>
        </w:rPr>
        <w:t xml:space="preserve">        </w:t>
      </w:r>
    </w:p>
    <w:p>
      <w:pPr>
        <w:autoSpaceDE w:val="0"/>
        <w:autoSpaceDN w:val="0"/>
        <w:adjustRightInd w:val="0"/>
        <w:spacing w:line="348" w:lineRule="auto"/>
        <w:ind w:firstLine="630"/>
        <w:rPr>
          <w:rFonts w:ascii="仿宋" w:hAnsi="仿宋" w:eastAsia="仿宋" w:cs="仿宋"/>
          <w:color w:val="auto"/>
          <w:sz w:val="24"/>
          <w:highlight w:val="none"/>
        </w:rPr>
      </w:pPr>
      <w:r>
        <w:rPr>
          <w:rFonts w:hint="eastAsia" w:ascii="仿宋" w:hAnsi="仿宋" w:eastAsia="仿宋" w:cs="仿宋"/>
          <w:color w:val="auto"/>
          <w:sz w:val="24"/>
          <w:highlight w:val="none"/>
          <w:lang w:val="zh-CN"/>
        </w:rPr>
        <w:t>职</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务：</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身份证号码：</w:t>
      </w:r>
      <w:r>
        <w:rPr>
          <w:rFonts w:hint="eastAsia" w:ascii="仿宋" w:hAnsi="仿宋" w:eastAsia="仿宋" w:cs="仿宋"/>
          <w:color w:val="auto"/>
          <w:sz w:val="24"/>
          <w:highlight w:val="none"/>
          <w:u w:val="single"/>
        </w:rPr>
        <w:t xml:space="preserve">             </w:t>
      </w:r>
    </w:p>
    <w:p>
      <w:pPr>
        <w:autoSpaceDE w:val="0"/>
        <w:autoSpaceDN w:val="0"/>
        <w:adjustRightInd w:val="0"/>
        <w:spacing w:line="348" w:lineRule="auto"/>
        <w:ind w:firstLine="630"/>
        <w:rPr>
          <w:rFonts w:ascii="仿宋" w:hAnsi="仿宋" w:eastAsia="仿宋" w:cs="仿宋"/>
          <w:color w:val="auto"/>
          <w:sz w:val="24"/>
          <w:highlight w:val="none"/>
          <w:u w:val="single"/>
        </w:rPr>
      </w:pPr>
      <w:r>
        <w:rPr>
          <w:rFonts w:hint="eastAsia" w:ascii="仿宋" w:hAnsi="仿宋" w:eastAsia="仿宋" w:cs="仿宋"/>
          <w:color w:val="auto"/>
          <w:sz w:val="24"/>
          <w:highlight w:val="none"/>
          <w:lang w:val="zh-CN"/>
        </w:rPr>
        <w:t>通讯地址：</w:t>
      </w:r>
      <w:r>
        <w:rPr>
          <w:rFonts w:hint="eastAsia" w:ascii="仿宋" w:hAnsi="仿宋" w:eastAsia="仿宋" w:cs="仿宋"/>
          <w:color w:val="auto"/>
          <w:sz w:val="24"/>
          <w:highlight w:val="none"/>
          <w:u w:val="single"/>
        </w:rPr>
        <w:t xml:space="preserve">                                      </w:t>
      </w:r>
    </w:p>
    <w:p>
      <w:pPr>
        <w:autoSpaceDE w:val="0"/>
        <w:autoSpaceDN w:val="0"/>
        <w:adjustRightInd w:val="0"/>
        <w:spacing w:line="348" w:lineRule="auto"/>
        <w:ind w:firstLine="630"/>
        <w:rPr>
          <w:rFonts w:ascii="仿宋" w:hAnsi="仿宋" w:eastAsia="仿宋" w:cs="仿宋"/>
          <w:color w:val="auto"/>
          <w:sz w:val="24"/>
          <w:highlight w:val="none"/>
          <w:u w:val="single"/>
        </w:rPr>
      </w:pPr>
      <w:r>
        <w:rPr>
          <w:rFonts w:hint="eastAsia" w:ascii="仿宋" w:hAnsi="仿宋" w:eastAsia="仿宋" w:cs="仿宋"/>
          <w:color w:val="auto"/>
          <w:sz w:val="24"/>
          <w:highlight w:val="none"/>
          <w:lang w:val="zh-CN"/>
        </w:rPr>
        <w:t>邮政编码：</w:t>
      </w:r>
      <w:r>
        <w:rPr>
          <w:rFonts w:hint="eastAsia" w:ascii="仿宋" w:hAnsi="仿宋" w:eastAsia="仿宋" w:cs="仿宋"/>
          <w:color w:val="auto"/>
          <w:sz w:val="24"/>
          <w:highlight w:val="none"/>
          <w:u w:val="single"/>
        </w:rPr>
        <w:t xml:space="preserve">                                      </w:t>
      </w:r>
    </w:p>
    <w:p>
      <w:pPr>
        <w:autoSpaceDE w:val="0"/>
        <w:autoSpaceDN w:val="0"/>
        <w:adjustRightInd w:val="0"/>
        <w:spacing w:line="348" w:lineRule="auto"/>
        <w:ind w:firstLine="630"/>
        <w:rPr>
          <w:rFonts w:ascii="仿宋" w:hAnsi="仿宋" w:eastAsia="仿宋" w:cs="仿宋"/>
          <w:color w:val="auto"/>
          <w:sz w:val="24"/>
          <w:highlight w:val="none"/>
          <w:u w:val="single"/>
        </w:rPr>
      </w:pPr>
      <w:r>
        <w:rPr>
          <w:rFonts w:hint="eastAsia" w:ascii="仿宋" w:hAnsi="仿宋" w:eastAsia="仿宋" w:cs="仿宋"/>
          <w:color w:val="auto"/>
          <w:sz w:val="24"/>
          <w:highlight w:val="none"/>
          <w:lang w:val="zh-CN"/>
        </w:rPr>
        <w:t>电</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传真：</w:t>
      </w:r>
      <w:r>
        <w:rPr>
          <w:rFonts w:hint="eastAsia" w:ascii="仿宋" w:hAnsi="仿宋" w:eastAsia="仿宋" w:cs="仿宋"/>
          <w:color w:val="auto"/>
          <w:sz w:val="24"/>
          <w:highlight w:val="none"/>
          <w:u w:val="single"/>
        </w:rPr>
        <w:t xml:space="preserve">           </w:t>
      </w:r>
    </w:p>
    <w:p>
      <w:pPr>
        <w:autoSpaceDE w:val="0"/>
        <w:autoSpaceDN w:val="0"/>
        <w:adjustRightInd w:val="0"/>
        <w:spacing w:line="348" w:lineRule="auto"/>
        <w:rPr>
          <w:rFonts w:ascii="仿宋" w:hAnsi="仿宋" w:eastAsia="仿宋" w:cs="仿宋"/>
          <w:color w:val="auto"/>
          <w:sz w:val="24"/>
          <w:highlight w:val="none"/>
        </w:rPr>
      </w:pPr>
    </w:p>
    <w:p>
      <w:pPr>
        <w:autoSpaceDE w:val="0"/>
        <w:autoSpaceDN w:val="0"/>
        <w:adjustRightInd w:val="0"/>
        <w:spacing w:line="348"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CN"/>
        </w:rPr>
        <w:t>法定代表人（或单位负责人）</w:t>
      </w:r>
      <w:r>
        <w:rPr>
          <w:rFonts w:hint="eastAsia" w:ascii="仿宋" w:hAnsi="仿宋" w:eastAsia="仿宋" w:cs="仿宋"/>
          <w:color w:val="auto"/>
          <w:sz w:val="24"/>
          <w:highlight w:val="none"/>
        </w:rPr>
        <w:t>及</w:t>
      </w:r>
      <w:r>
        <w:rPr>
          <w:rFonts w:hint="eastAsia" w:ascii="仿宋" w:hAnsi="仿宋" w:eastAsia="仿宋" w:cs="仿宋"/>
          <w:color w:val="auto"/>
          <w:sz w:val="24"/>
          <w:highlight w:val="none"/>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w:t>
            </w:r>
            <w:r>
              <w:rPr>
                <w:rFonts w:hint="eastAsia" w:ascii="仿宋" w:hAnsi="仿宋" w:eastAsia="仿宋" w:cs="仿宋"/>
                <w:color w:val="auto"/>
                <w:sz w:val="24"/>
                <w:highlight w:val="none"/>
              </w:rPr>
              <w:t>（或单位负责人）</w:t>
            </w:r>
            <w:r>
              <w:rPr>
                <w:rFonts w:hint="eastAsia" w:ascii="仿宋" w:hAnsi="仿宋" w:eastAsia="仿宋" w:cs="仿宋"/>
                <w:color w:val="auto"/>
                <w:sz w:val="24"/>
                <w:highlight w:val="none"/>
                <w:lang w:val="zh-CN"/>
              </w:rPr>
              <w:t>身份证复印件</w:t>
            </w:r>
          </w:p>
          <w:p>
            <w:pPr>
              <w:autoSpaceDE w:val="0"/>
              <w:autoSpaceDN w:val="0"/>
              <w:adjustRightInd w:val="0"/>
              <w:spacing w:line="348" w:lineRule="auto"/>
              <w:jc w:val="center"/>
              <w:rPr>
                <w:rFonts w:ascii="仿宋" w:hAnsi="仿宋" w:eastAsia="仿宋" w:cs="仿宋"/>
                <w:color w:val="auto"/>
                <w:sz w:val="24"/>
                <w:highlight w:val="none"/>
                <w:u w:val="single"/>
              </w:rPr>
            </w:pPr>
            <w:r>
              <w:rPr>
                <w:rFonts w:hint="eastAsia" w:ascii="仿宋" w:hAnsi="仿宋" w:eastAsia="仿宋" w:cs="仿宋"/>
                <w:color w:val="auto"/>
                <w:sz w:val="24"/>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授权代表身份证复印件</w:t>
            </w:r>
          </w:p>
          <w:p>
            <w:pPr>
              <w:autoSpaceDE w:val="0"/>
              <w:autoSpaceDN w:val="0"/>
              <w:adjustRightInd w:val="0"/>
              <w:spacing w:line="348" w:lineRule="auto"/>
              <w:jc w:val="center"/>
              <w:rPr>
                <w:rFonts w:ascii="仿宋" w:hAnsi="仿宋" w:eastAsia="仿宋" w:cs="仿宋"/>
                <w:color w:val="auto"/>
                <w:sz w:val="24"/>
                <w:highlight w:val="none"/>
                <w:u w:val="single"/>
              </w:rPr>
            </w:pPr>
            <w:r>
              <w:rPr>
                <w:rFonts w:hint="eastAsia" w:ascii="仿宋" w:hAnsi="仿宋" w:eastAsia="仿宋" w:cs="仿宋"/>
                <w:color w:val="auto"/>
                <w:sz w:val="24"/>
                <w:highlight w:val="none"/>
                <w:lang w:val="zh-CN"/>
              </w:rPr>
              <w:t>（正反面）</w:t>
            </w:r>
          </w:p>
        </w:tc>
      </w:tr>
    </w:tbl>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djustRightInd w:val="0"/>
        <w:snapToGrid w:val="0"/>
        <w:spacing w:line="360" w:lineRule="auto"/>
        <w:rPr>
          <w:rFonts w:ascii="仿宋" w:hAnsi="仿宋" w:eastAsia="仿宋" w:cs="仿宋"/>
          <w:color w:val="auto"/>
          <w:sz w:val="24"/>
          <w:highlight w:val="none"/>
        </w:rPr>
      </w:pP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                         法定代表人（或单位负责人）</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（公章）：                  （签字或盖章）：</w:t>
      </w:r>
    </w:p>
    <w:p>
      <w:pPr>
        <w:spacing w:after="120"/>
        <w:rPr>
          <w:rFonts w:ascii="仿宋" w:hAnsi="仿宋" w:eastAsia="仿宋" w:cs="仿宋"/>
          <w:color w:val="auto"/>
          <w:highlight w:val="none"/>
        </w:rPr>
      </w:pPr>
      <w:r>
        <w:rPr>
          <w:rFonts w:hint="eastAsia" w:ascii="仿宋" w:hAnsi="仿宋" w:eastAsia="仿宋" w:cs="仿宋"/>
          <w:b/>
          <w:bCs/>
          <w:i/>
          <w:iCs/>
          <w:color w:val="auto"/>
          <w:sz w:val="24"/>
          <w:highlight w:val="none"/>
        </w:rPr>
        <w:t>注：</w:t>
      </w:r>
      <w:r>
        <w:rPr>
          <w:rFonts w:hint="eastAsia" w:ascii="仿宋" w:hAnsi="仿宋" w:eastAsia="仿宋" w:cs="仿宋"/>
          <w:b/>
          <w:bCs/>
          <w:i/>
          <w:iCs/>
          <w:color w:val="auto"/>
          <w:sz w:val="24"/>
          <w:highlight w:val="none"/>
          <w:lang w:val="zh-CN"/>
        </w:rPr>
        <w:t>法定代表人（或单位负责人）直接参加磋商时，无需提供此授权</w:t>
      </w:r>
      <w:r>
        <w:rPr>
          <w:rFonts w:hint="eastAsia" w:ascii="仿宋" w:hAnsi="仿宋" w:eastAsia="仿宋" w:cs="仿宋"/>
          <w:b/>
          <w:bCs/>
          <w:i/>
          <w:iCs/>
          <w:color w:val="auto"/>
          <w:sz w:val="24"/>
          <w:highlight w:val="none"/>
        </w:rPr>
        <w:t>委托</w:t>
      </w:r>
      <w:r>
        <w:rPr>
          <w:rFonts w:hint="eastAsia" w:ascii="仿宋" w:hAnsi="仿宋" w:eastAsia="仿宋" w:cs="仿宋"/>
          <w:b/>
          <w:bCs/>
          <w:i/>
          <w:iCs/>
          <w:color w:val="auto"/>
          <w:sz w:val="24"/>
          <w:highlight w:val="none"/>
          <w:lang w:val="zh-CN"/>
        </w:rPr>
        <w:t>书，只需提供法定代表人（或单位负责人）身份证明。</w:t>
      </w:r>
      <w:r>
        <w:rPr>
          <w:rFonts w:hint="eastAsia" w:ascii="仿宋" w:hAnsi="仿宋" w:eastAsia="仿宋" w:cs="仿宋"/>
          <w:color w:val="auto"/>
          <w:highlight w:val="none"/>
        </w:rPr>
        <w:br w:type="page"/>
      </w:r>
    </w:p>
    <w:p>
      <w:pPr>
        <w:autoSpaceDE w:val="0"/>
        <w:autoSpaceDN w:val="0"/>
        <w:adjustRightInd w:val="0"/>
        <w:jc w:val="center"/>
        <w:rPr>
          <w:rFonts w:ascii="仿宋" w:hAnsi="仿宋" w:eastAsia="仿宋" w:cs="仿宋"/>
          <w:b/>
          <w:color w:val="auto"/>
          <w:kern w:val="0"/>
          <w:sz w:val="28"/>
          <w:szCs w:val="28"/>
          <w:highlight w:val="none"/>
        </w:rPr>
      </w:pPr>
    </w:p>
    <w:p>
      <w:pPr>
        <w:autoSpaceDE w:val="0"/>
        <w:autoSpaceDN w:val="0"/>
        <w:adjustRightInd w:val="0"/>
        <w:jc w:val="center"/>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2、法定代表人（或单位负责人）身份证明</w:t>
      </w:r>
    </w:p>
    <w:p>
      <w:pPr>
        <w:autoSpaceDE w:val="0"/>
        <w:autoSpaceDN w:val="0"/>
        <w:adjustRightInd w:val="0"/>
        <w:spacing w:line="360" w:lineRule="auto"/>
        <w:jc w:val="left"/>
        <w:rPr>
          <w:rFonts w:ascii="仿宋" w:hAnsi="仿宋" w:eastAsia="仿宋" w:cs="仿宋"/>
          <w:color w:val="auto"/>
          <w:kern w:val="0"/>
          <w:sz w:val="24"/>
          <w:highlight w:val="none"/>
        </w:rPr>
      </w:pPr>
    </w:p>
    <w:p>
      <w:pPr>
        <w:autoSpaceDE w:val="0"/>
        <w:autoSpaceDN w:val="0"/>
        <w:adjustRightInd w:val="0"/>
        <w:spacing w:line="360" w:lineRule="auto"/>
        <w:jc w:val="left"/>
        <w:rPr>
          <w:rFonts w:ascii="仿宋" w:hAnsi="仿宋" w:eastAsia="仿宋" w:cs="仿宋"/>
          <w:color w:val="auto"/>
          <w:kern w:val="0"/>
          <w:sz w:val="24"/>
          <w:highlight w:val="none"/>
        </w:rPr>
      </w:pPr>
    </w:p>
    <w:p>
      <w:pPr>
        <w:autoSpaceDE w:val="0"/>
        <w:autoSpaceDN w:val="0"/>
        <w:adjustRightIn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w:t>
      </w:r>
    </w:p>
    <w:p>
      <w:pPr>
        <w:autoSpaceDE w:val="0"/>
        <w:autoSpaceDN w:val="0"/>
        <w:adjustRightIn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单位性质：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w:t>
      </w:r>
    </w:p>
    <w:p>
      <w:pPr>
        <w:autoSpaceDE w:val="0"/>
        <w:autoSpaceDN w:val="0"/>
        <w:adjustRightIn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地    址： </w:t>
      </w:r>
      <w:r>
        <w:rPr>
          <w:rFonts w:hint="eastAsia" w:ascii="仿宋" w:hAnsi="仿宋" w:eastAsia="仿宋" w:cs="仿宋"/>
          <w:color w:val="auto"/>
          <w:kern w:val="0"/>
          <w:sz w:val="24"/>
          <w:highlight w:val="none"/>
          <w:u w:val="single"/>
        </w:rPr>
        <w:t xml:space="preserve">                       </w:t>
      </w:r>
    </w:p>
    <w:p>
      <w:pPr>
        <w:autoSpaceDE w:val="0"/>
        <w:autoSpaceDN w:val="0"/>
        <w:adjustRightIn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成立时间：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日</w:t>
      </w:r>
    </w:p>
    <w:p>
      <w:pPr>
        <w:autoSpaceDE w:val="0"/>
        <w:autoSpaceDN w:val="0"/>
        <w:adjustRightIn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经营期限：</w:t>
      </w:r>
    </w:p>
    <w:p>
      <w:pPr>
        <w:autoSpaceDE w:val="0"/>
        <w:autoSpaceDN w:val="0"/>
        <w:adjustRightInd w:val="0"/>
        <w:spacing w:line="360" w:lineRule="auto"/>
        <w:jc w:val="left"/>
        <w:rPr>
          <w:rFonts w:ascii="仿宋" w:hAnsi="仿宋" w:eastAsia="仿宋" w:cs="仿宋"/>
          <w:color w:val="auto"/>
          <w:kern w:val="0"/>
          <w:sz w:val="24"/>
          <w:highlight w:val="none"/>
        </w:rPr>
      </w:pPr>
    </w:p>
    <w:p>
      <w:pPr>
        <w:autoSpaceDE w:val="0"/>
        <w:autoSpaceDN w:val="0"/>
        <w:adjustRightInd w:val="0"/>
        <w:spacing w:line="360" w:lineRule="auto"/>
        <w:jc w:val="left"/>
        <w:rPr>
          <w:rFonts w:ascii="仿宋" w:hAnsi="仿宋" w:eastAsia="仿宋" w:cs="仿宋"/>
          <w:color w:val="auto"/>
          <w:kern w:val="0"/>
          <w:sz w:val="24"/>
          <w:highlight w:val="none"/>
        </w:rPr>
      </w:pPr>
    </w:p>
    <w:p>
      <w:pPr>
        <w:autoSpaceDE w:val="0"/>
        <w:autoSpaceDN w:val="0"/>
        <w:adjustRightIn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姓名：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性别：</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年龄：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职务：</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系</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（供应商名称）的法定代表人</w:t>
      </w:r>
      <w:r>
        <w:rPr>
          <w:rFonts w:hint="eastAsia" w:ascii="仿宋" w:hAnsi="仿宋" w:eastAsia="仿宋" w:cs="仿宋"/>
          <w:color w:val="auto"/>
          <w:sz w:val="24"/>
          <w:highlight w:val="none"/>
        </w:rPr>
        <w:t>（或单位负责人）</w:t>
      </w:r>
      <w:r>
        <w:rPr>
          <w:rFonts w:hint="eastAsia" w:ascii="仿宋" w:hAnsi="仿宋" w:eastAsia="仿宋" w:cs="仿宋"/>
          <w:color w:val="auto"/>
          <w:kern w:val="0"/>
          <w:sz w:val="24"/>
          <w:highlight w:val="none"/>
        </w:rPr>
        <w:t>。</w:t>
      </w:r>
    </w:p>
    <w:p>
      <w:pPr>
        <w:autoSpaceDE w:val="0"/>
        <w:autoSpaceDN w:val="0"/>
        <w:adjustRightIn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特此证明。</w:t>
      </w:r>
    </w:p>
    <w:p>
      <w:pPr>
        <w:autoSpaceDE w:val="0"/>
        <w:autoSpaceDN w:val="0"/>
        <w:adjustRightInd w:val="0"/>
        <w:spacing w:line="360" w:lineRule="auto"/>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附：法定代表人（或单位负责人）身份证复印件</w:t>
      </w:r>
    </w:p>
    <w:tbl>
      <w:tblPr>
        <w:tblStyle w:val="50"/>
        <w:tblW w:w="0" w:type="auto"/>
        <w:tblInd w:w="679" w:type="dxa"/>
        <w:tblLayout w:type="fixed"/>
        <w:tblCellMar>
          <w:top w:w="0" w:type="dxa"/>
          <w:left w:w="108" w:type="dxa"/>
          <w:bottom w:w="0" w:type="dxa"/>
          <w:right w:w="108" w:type="dxa"/>
        </w:tblCellMar>
      </w:tblPr>
      <w:tblGrid>
        <w:gridCol w:w="4049"/>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法定代表人（或单位负责人）身份证复印件</w:t>
            </w:r>
          </w:p>
          <w:p>
            <w:pPr>
              <w:autoSpaceDE w:val="0"/>
              <w:autoSpaceDN w:val="0"/>
              <w:adjustRightInd w:val="0"/>
              <w:spacing w:line="348" w:lineRule="auto"/>
              <w:jc w:val="center"/>
              <w:rPr>
                <w:rFonts w:ascii="仿宋" w:hAnsi="仿宋" w:eastAsia="仿宋" w:cs="仿宋"/>
                <w:color w:val="auto"/>
                <w:sz w:val="24"/>
                <w:highlight w:val="none"/>
                <w:u w:val="single"/>
              </w:rPr>
            </w:pPr>
            <w:r>
              <w:rPr>
                <w:rFonts w:hint="eastAsia" w:ascii="仿宋" w:hAnsi="仿宋" w:eastAsia="仿宋" w:cs="仿宋"/>
                <w:color w:val="auto"/>
                <w:sz w:val="24"/>
                <w:highlight w:val="none"/>
                <w:lang w:val="zh-CN"/>
              </w:rPr>
              <w:t>（正反面）</w:t>
            </w:r>
          </w:p>
        </w:tc>
      </w:tr>
    </w:tbl>
    <w:p>
      <w:pPr>
        <w:autoSpaceDE w:val="0"/>
        <w:autoSpaceDN w:val="0"/>
        <w:adjustRightInd w:val="0"/>
        <w:spacing w:line="360" w:lineRule="auto"/>
        <w:jc w:val="left"/>
        <w:rPr>
          <w:rFonts w:ascii="仿宋" w:hAnsi="仿宋" w:eastAsia="仿宋" w:cs="仿宋"/>
          <w:color w:val="auto"/>
          <w:kern w:val="0"/>
          <w:sz w:val="24"/>
          <w:highlight w:val="none"/>
        </w:rPr>
      </w:pPr>
    </w:p>
    <w:p>
      <w:pPr>
        <w:autoSpaceDE w:val="0"/>
        <w:autoSpaceDN w:val="0"/>
        <w:adjustRightInd w:val="0"/>
        <w:spacing w:line="360" w:lineRule="auto"/>
        <w:jc w:val="left"/>
        <w:rPr>
          <w:rFonts w:ascii="仿宋" w:hAnsi="仿宋" w:eastAsia="仿宋" w:cs="仿宋"/>
          <w:color w:val="auto"/>
          <w:kern w:val="0"/>
          <w:sz w:val="24"/>
          <w:highlight w:val="none"/>
        </w:rPr>
      </w:pPr>
    </w:p>
    <w:p>
      <w:pPr>
        <w:autoSpaceDE w:val="0"/>
        <w:autoSpaceDN w:val="0"/>
        <w:adjustRightInd w:val="0"/>
        <w:spacing w:line="360" w:lineRule="auto"/>
        <w:jc w:val="left"/>
        <w:rPr>
          <w:rFonts w:ascii="仿宋" w:hAnsi="仿宋" w:eastAsia="仿宋" w:cs="仿宋"/>
          <w:color w:val="auto"/>
          <w:kern w:val="0"/>
          <w:sz w:val="24"/>
          <w:highlight w:val="none"/>
        </w:rPr>
      </w:pPr>
    </w:p>
    <w:p>
      <w:pPr>
        <w:autoSpaceDE w:val="0"/>
        <w:autoSpaceDN w:val="0"/>
        <w:adjustRightInd w:val="0"/>
        <w:spacing w:line="360" w:lineRule="auto"/>
        <w:jc w:val="left"/>
        <w:rPr>
          <w:rFonts w:ascii="仿宋" w:hAnsi="仿宋" w:eastAsia="仿宋" w:cs="仿宋"/>
          <w:color w:val="auto"/>
          <w:kern w:val="0"/>
          <w:sz w:val="24"/>
          <w:highlight w:val="none"/>
        </w:rPr>
      </w:pPr>
    </w:p>
    <w:p>
      <w:pPr>
        <w:autoSpaceDE w:val="0"/>
        <w:autoSpaceDN w:val="0"/>
        <w:adjustRightInd w:val="0"/>
        <w:spacing w:line="360" w:lineRule="auto"/>
        <w:ind w:left="5399" w:leftChars="2571"/>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供应商：</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（公章）</w:t>
      </w:r>
    </w:p>
    <w:p>
      <w:pPr>
        <w:autoSpaceDE w:val="0"/>
        <w:autoSpaceDN w:val="0"/>
        <w:adjustRightInd w:val="0"/>
        <w:spacing w:line="360" w:lineRule="auto"/>
        <w:ind w:left="5399" w:leftChars="2571"/>
        <w:jc w:val="left"/>
        <w:rPr>
          <w:rFonts w:ascii="仿宋" w:hAnsi="仿宋" w:eastAsia="仿宋" w:cs="仿宋"/>
          <w:color w:val="auto"/>
          <w:kern w:val="0"/>
          <w:sz w:val="24"/>
          <w:highlight w:val="none"/>
        </w:rPr>
      </w:pPr>
    </w:p>
    <w:p>
      <w:pPr>
        <w:autoSpaceDE w:val="0"/>
        <w:autoSpaceDN w:val="0"/>
        <w:adjustRightInd w:val="0"/>
        <w:spacing w:line="360" w:lineRule="auto"/>
        <w:ind w:left="6659" w:leftChars="3171"/>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年  月  日</w:t>
      </w:r>
    </w:p>
    <w:p>
      <w:pPr>
        <w:rPr>
          <w:rFonts w:ascii="仿宋" w:hAnsi="仿宋" w:eastAsia="仿宋" w:cs="仿宋"/>
          <w:color w:val="auto"/>
          <w:highlight w:val="none"/>
        </w:rPr>
      </w:pPr>
      <w:r>
        <w:rPr>
          <w:rFonts w:hint="eastAsia" w:ascii="仿宋" w:hAnsi="仿宋" w:eastAsia="仿宋" w:cs="仿宋"/>
          <w:color w:val="auto"/>
          <w:highlight w:val="none"/>
        </w:rPr>
        <w:br w:type="page"/>
      </w:r>
    </w:p>
    <w:p>
      <w:pPr>
        <w:pStyle w:val="5"/>
        <w:jc w:val="center"/>
        <w:rPr>
          <w:rFonts w:ascii="仿宋" w:hAnsi="仿宋" w:eastAsia="仿宋" w:cs="仿宋"/>
          <w:b/>
          <w:bCs/>
          <w:color w:val="auto"/>
          <w:highlight w:val="none"/>
        </w:rPr>
      </w:pPr>
      <w:bookmarkStart w:id="477" w:name="_Toc5421"/>
      <w:r>
        <w:rPr>
          <w:rFonts w:hint="eastAsia" w:ascii="仿宋" w:hAnsi="仿宋" w:eastAsia="仿宋" w:cs="仿宋"/>
          <w:b/>
          <w:bCs/>
          <w:color w:val="auto"/>
          <w:highlight w:val="none"/>
        </w:rPr>
        <w:t>第二部分  资格证明文件</w:t>
      </w:r>
      <w:bookmarkEnd w:id="477"/>
    </w:p>
    <w:p>
      <w:pPr>
        <w:spacing w:after="120"/>
        <w:rPr>
          <w:rFonts w:ascii="仿宋" w:hAnsi="仿宋" w:eastAsia="仿宋" w:cs="仿宋"/>
          <w:color w:val="auto"/>
          <w:highlight w:val="none"/>
        </w:rPr>
      </w:pPr>
    </w:p>
    <w:p>
      <w:pPr>
        <w:numPr>
          <w:ilvl w:val="0"/>
          <w:numId w:val="14"/>
        </w:numPr>
        <w:tabs>
          <w:tab w:val="left" w:pos="993"/>
          <w:tab w:val="left" w:pos="1030"/>
          <w:tab w:val="left" w:pos="8364"/>
          <w:tab w:val="clear" w:pos="0"/>
        </w:tabs>
        <w:snapToGrid w:val="0"/>
        <w:spacing w:line="360" w:lineRule="auto"/>
        <w:ind w:right="-57" w:rightChars="-27"/>
        <w:jc w:val="left"/>
        <w:rPr>
          <w:rFonts w:ascii="仿宋" w:hAnsi="仿宋" w:eastAsia="仿宋" w:cs="仿宋"/>
          <w:color w:val="auto"/>
          <w:sz w:val="24"/>
          <w:highlight w:val="none"/>
        </w:rPr>
      </w:pPr>
      <w:r>
        <w:rPr>
          <w:rFonts w:hint="eastAsia" w:ascii="仿宋" w:hAnsi="仿宋" w:eastAsia="仿宋" w:cs="仿宋"/>
          <w:color w:val="auto"/>
          <w:sz w:val="24"/>
          <w:highlight w:val="none"/>
        </w:rPr>
        <w:t>供应商的企业法人营业执照副本复印件（格式要求见附件6-1）；</w:t>
      </w:r>
    </w:p>
    <w:p>
      <w:pPr>
        <w:numPr>
          <w:ilvl w:val="0"/>
          <w:numId w:val="14"/>
        </w:numPr>
        <w:tabs>
          <w:tab w:val="left" w:pos="993"/>
          <w:tab w:val="left" w:pos="1030"/>
          <w:tab w:val="left" w:pos="8364"/>
          <w:tab w:val="clear" w:pos="0"/>
        </w:tabs>
        <w:snapToGrid w:val="0"/>
        <w:spacing w:line="360" w:lineRule="auto"/>
        <w:ind w:right="-57" w:rightChars="-27"/>
        <w:jc w:val="left"/>
        <w:rPr>
          <w:rFonts w:ascii="仿宋" w:hAnsi="仿宋" w:eastAsia="仿宋" w:cs="仿宋"/>
          <w:color w:val="auto"/>
          <w:sz w:val="24"/>
          <w:highlight w:val="none"/>
        </w:rPr>
      </w:pPr>
      <w:r>
        <w:rPr>
          <w:rFonts w:hint="eastAsia" w:ascii="仿宋" w:hAnsi="仿宋" w:eastAsia="仿宋" w:cs="仿宋"/>
          <w:color w:val="auto"/>
          <w:sz w:val="24"/>
          <w:highlight w:val="none"/>
        </w:rPr>
        <w:t>供应商提供2020-2022年度任意一年的财务审计报告复印件，或本年度基本开户银行出具的资信证明（格式要求见附件6-2）；</w:t>
      </w:r>
    </w:p>
    <w:p>
      <w:pPr>
        <w:numPr>
          <w:ilvl w:val="0"/>
          <w:numId w:val="14"/>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提供了近6个月中任意一个月依法缴纳税收和社会保障资金的证明材料复印件（格式见附件6-3、6-4）</w:t>
      </w:r>
    </w:p>
    <w:p>
      <w:pPr>
        <w:numPr>
          <w:ilvl w:val="0"/>
          <w:numId w:val="14"/>
        </w:numPr>
        <w:tabs>
          <w:tab w:val="left" w:pos="993"/>
          <w:tab w:val="left" w:pos="1030"/>
          <w:tab w:val="left" w:pos="8364"/>
          <w:tab w:val="clear" w:pos="0"/>
        </w:tabs>
        <w:snapToGrid w:val="0"/>
        <w:spacing w:line="360" w:lineRule="auto"/>
        <w:ind w:right="-57" w:rightChars="-27"/>
        <w:jc w:val="left"/>
        <w:rPr>
          <w:rFonts w:ascii="仿宋" w:hAnsi="仿宋" w:eastAsia="仿宋" w:cs="仿宋"/>
          <w:color w:val="auto"/>
          <w:sz w:val="24"/>
          <w:highlight w:val="none"/>
        </w:rPr>
      </w:pPr>
      <w:r>
        <w:rPr>
          <w:rFonts w:hint="eastAsia" w:ascii="仿宋" w:hAnsi="仿宋" w:eastAsia="仿宋" w:cs="仿宋"/>
          <w:color w:val="auto"/>
          <w:sz w:val="24"/>
          <w:highlight w:val="none"/>
        </w:rPr>
        <w:t>具备履行合同所必需的设备和专业技术能力的承诺原件（格式见附件6-5）；</w:t>
      </w:r>
    </w:p>
    <w:p>
      <w:pPr>
        <w:numPr>
          <w:ilvl w:val="0"/>
          <w:numId w:val="14"/>
        </w:numPr>
        <w:tabs>
          <w:tab w:val="left" w:pos="420"/>
          <w:tab w:val="left" w:pos="8364"/>
          <w:tab w:val="clear" w:pos="0"/>
        </w:tabs>
        <w:snapToGrid w:val="0"/>
        <w:spacing w:line="360" w:lineRule="auto"/>
        <w:ind w:right="-57" w:rightChars="-27"/>
        <w:jc w:val="left"/>
        <w:rPr>
          <w:rFonts w:ascii="仿宋" w:hAnsi="仿宋" w:eastAsia="仿宋" w:cs="仿宋"/>
          <w:color w:val="auto"/>
          <w:sz w:val="24"/>
          <w:highlight w:val="none"/>
        </w:rPr>
      </w:pPr>
      <w:r>
        <w:rPr>
          <w:rFonts w:hint="eastAsia" w:ascii="仿宋" w:hAnsi="仿宋" w:eastAsia="仿宋" w:cs="仿宋"/>
          <w:color w:val="auto"/>
          <w:sz w:val="24"/>
          <w:highlight w:val="none"/>
        </w:rPr>
        <w:t>供应商参加政府采购活动前3年内在经营活动中没有重大违法记录的书面声明原件（格式见附件6-6）</w:t>
      </w:r>
    </w:p>
    <w:p>
      <w:pPr>
        <w:numPr>
          <w:ilvl w:val="0"/>
          <w:numId w:val="14"/>
        </w:numPr>
        <w:tabs>
          <w:tab w:val="left" w:pos="200"/>
          <w:tab w:val="left" w:pos="8364"/>
          <w:tab w:val="clear" w:pos="0"/>
        </w:tabs>
        <w:snapToGrid w:val="0"/>
        <w:spacing w:line="360" w:lineRule="auto"/>
        <w:ind w:right="-57" w:rightChars="-27"/>
        <w:jc w:val="left"/>
        <w:rPr>
          <w:rFonts w:ascii="仿宋" w:hAnsi="仿宋" w:eastAsia="仿宋" w:cs="仿宋"/>
          <w:color w:val="auto"/>
          <w:sz w:val="24"/>
          <w:highlight w:val="none"/>
        </w:rPr>
      </w:pPr>
      <w:r>
        <w:rPr>
          <w:rFonts w:hint="eastAsia" w:ascii="仿宋" w:hAnsi="仿宋" w:eastAsia="仿宋" w:cs="仿宋"/>
          <w:color w:val="auto"/>
          <w:sz w:val="24"/>
          <w:highlight w:val="none"/>
        </w:rPr>
        <w:t>供应商控股股东名称、控股公司的名称和存在管理、被管理关系的单位名称说明（格式见附件6-7)</w:t>
      </w:r>
    </w:p>
    <w:p>
      <w:pPr>
        <w:numPr>
          <w:ilvl w:val="0"/>
          <w:numId w:val="14"/>
        </w:numPr>
        <w:tabs>
          <w:tab w:val="left" w:pos="220"/>
          <w:tab w:val="left" w:pos="420"/>
          <w:tab w:val="left" w:pos="8364"/>
          <w:tab w:val="clear" w:pos="0"/>
        </w:tabs>
        <w:snapToGrid w:val="0"/>
        <w:spacing w:line="360" w:lineRule="auto"/>
        <w:ind w:right="-57" w:rightChars="-27"/>
        <w:jc w:val="left"/>
        <w:rPr>
          <w:rFonts w:ascii="仿宋" w:hAnsi="仿宋" w:eastAsia="仿宋" w:cs="仿宋"/>
          <w:color w:val="auto"/>
          <w:sz w:val="24"/>
          <w:highlight w:val="none"/>
        </w:rPr>
      </w:pPr>
      <w:r>
        <w:rPr>
          <w:rFonts w:hint="eastAsia" w:ascii="仿宋" w:hAnsi="仿宋" w:eastAsia="仿宋" w:cs="仿宋"/>
          <w:color w:val="auto"/>
          <w:sz w:val="24"/>
          <w:highlight w:val="none"/>
        </w:rPr>
        <w:t>供应商是否属于为本项目提供整体设计、规范编制或者项目管理、监理、检测等服务的供应商声明原件（格式见附件6-8)</w:t>
      </w:r>
    </w:p>
    <w:p>
      <w:pPr>
        <w:numPr>
          <w:ilvl w:val="0"/>
          <w:numId w:val="14"/>
        </w:numPr>
        <w:tabs>
          <w:tab w:val="left" w:pos="220"/>
          <w:tab w:val="left" w:pos="8364"/>
          <w:tab w:val="clear" w:pos="0"/>
        </w:tabs>
        <w:snapToGrid w:val="0"/>
        <w:spacing w:line="360" w:lineRule="auto"/>
        <w:ind w:right="-57" w:rightChars="-27"/>
        <w:jc w:val="left"/>
        <w:rPr>
          <w:rFonts w:ascii="仿宋" w:hAnsi="仿宋" w:eastAsia="仿宋" w:cs="仿宋"/>
          <w:color w:val="auto"/>
          <w:sz w:val="24"/>
          <w:highlight w:val="none"/>
        </w:rPr>
      </w:pPr>
      <w:r>
        <w:rPr>
          <w:rFonts w:hint="eastAsia" w:ascii="仿宋" w:hAnsi="仿宋" w:eastAsia="仿宋" w:cs="仿宋"/>
          <w:color w:val="auto"/>
          <w:sz w:val="24"/>
          <w:highlight w:val="none"/>
        </w:rPr>
        <w:t>证明供应商符合特定资格条件的证明材料；（格式见附件6-9)</w:t>
      </w:r>
    </w:p>
    <w:p>
      <w:pPr>
        <w:spacing w:after="120"/>
        <w:ind w:left="780"/>
        <w:rPr>
          <w:rFonts w:ascii="仿宋" w:hAnsi="仿宋" w:eastAsia="仿宋" w:cs="仿宋"/>
          <w:color w:val="auto"/>
          <w:highlight w:val="none"/>
        </w:rPr>
      </w:pPr>
    </w:p>
    <w:p>
      <w:pPr>
        <w:adjustRightInd w:val="0"/>
        <w:spacing w:line="360" w:lineRule="auto"/>
        <w:ind w:firstLine="480" w:firstLineChars="200"/>
        <w:jc w:val="left"/>
        <w:textAlignment w:val="baseline"/>
        <w:rPr>
          <w:rFonts w:ascii="仿宋" w:hAnsi="仿宋" w:eastAsia="仿宋" w:cs="仿宋"/>
          <w:color w:val="auto"/>
          <w:sz w:val="24"/>
          <w:highlight w:val="none"/>
        </w:rPr>
      </w:pPr>
      <w:r>
        <w:rPr>
          <w:rFonts w:hint="eastAsia" w:ascii="仿宋" w:hAnsi="仿宋" w:eastAsia="仿宋" w:cs="仿宋"/>
          <w:color w:val="auto"/>
          <w:sz w:val="24"/>
          <w:highlight w:val="none"/>
        </w:rPr>
        <w:t>以上提供的扫描件、复印件必须加盖供应商公章。</w:t>
      </w:r>
    </w:p>
    <w:p>
      <w:pPr>
        <w:spacing w:after="120"/>
        <w:rPr>
          <w:rFonts w:ascii="仿宋" w:hAnsi="仿宋" w:eastAsia="仿宋" w:cs="仿宋"/>
          <w:color w:val="auto"/>
          <w:highlight w:val="none"/>
        </w:rPr>
      </w:pPr>
      <w:r>
        <w:rPr>
          <w:rFonts w:hint="eastAsia" w:ascii="仿宋" w:hAnsi="仿宋" w:eastAsia="仿宋" w:cs="仿宋"/>
          <w:color w:val="auto"/>
          <w:highlight w:val="none"/>
        </w:rPr>
        <w:br w:type="page"/>
      </w:r>
    </w:p>
    <w:p>
      <w:pPr>
        <w:adjustRightInd w:val="0"/>
        <w:spacing w:line="360" w:lineRule="auto"/>
        <w:ind w:firstLine="480" w:firstLineChars="200"/>
        <w:jc w:val="left"/>
        <w:textAlignment w:val="baseline"/>
        <w:rPr>
          <w:rFonts w:ascii="仿宋" w:hAnsi="仿宋" w:eastAsia="仿宋" w:cs="仿宋"/>
          <w:color w:val="auto"/>
          <w:sz w:val="24"/>
          <w:highlight w:val="none"/>
        </w:rPr>
      </w:pPr>
    </w:p>
    <w:p>
      <w:pPr>
        <w:jc w:val="left"/>
        <w:outlineLvl w:val="2"/>
        <w:rPr>
          <w:rFonts w:ascii="仿宋" w:hAnsi="仿宋" w:eastAsia="仿宋" w:cs="仿宋"/>
          <w:b/>
          <w:color w:val="auto"/>
          <w:sz w:val="24"/>
          <w:highlight w:val="none"/>
        </w:rPr>
      </w:pPr>
      <w:bookmarkStart w:id="478" w:name="_Toc7005120"/>
      <w:r>
        <w:rPr>
          <w:rFonts w:hint="eastAsia" w:ascii="仿宋" w:hAnsi="仿宋" w:eastAsia="仿宋" w:cs="仿宋"/>
          <w:b/>
          <w:color w:val="auto"/>
          <w:sz w:val="24"/>
          <w:highlight w:val="none"/>
        </w:rPr>
        <w:t>6-1  供应商的企业法人营业执照副本复印件（加盖公章）</w:t>
      </w:r>
      <w:bookmarkEnd w:id="478"/>
    </w:p>
    <w:p>
      <w:pPr>
        <w:jc w:val="left"/>
        <w:rPr>
          <w:rFonts w:ascii="仿宋" w:hAnsi="仿宋" w:eastAsia="仿宋" w:cs="仿宋"/>
          <w:color w:val="auto"/>
          <w:sz w:val="24"/>
          <w:highlight w:val="none"/>
        </w:rPr>
      </w:pPr>
    </w:p>
    <w:p>
      <w:pPr>
        <w:tabs>
          <w:tab w:val="left" w:pos="993"/>
          <w:tab w:val="left" w:pos="1030"/>
          <w:tab w:val="left" w:pos="8364"/>
        </w:tabs>
        <w:snapToGrid w:val="0"/>
        <w:spacing w:after="120" w:afterLines="50"/>
        <w:ind w:right="-57" w:rightChars="-27"/>
        <w:rPr>
          <w:rFonts w:ascii="仿宋" w:hAnsi="仿宋" w:eastAsia="仿宋" w:cs="仿宋"/>
          <w:color w:val="auto"/>
          <w:sz w:val="24"/>
          <w:highlight w:val="none"/>
        </w:rPr>
      </w:pPr>
      <w:r>
        <w:rPr>
          <w:rFonts w:hint="eastAsia" w:ascii="仿宋" w:hAnsi="仿宋" w:eastAsia="仿宋" w:cs="仿宋"/>
          <w:color w:val="auto"/>
          <w:sz w:val="24"/>
          <w:highlight w:val="none"/>
        </w:rPr>
        <w:t>（注：根据项目实际情况，本项内容可能要求提供“事业单位法人证书”、自然人身份证明等证明材料）</w:t>
      </w:r>
    </w:p>
    <w:p>
      <w:pPr>
        <w:adjustRightInd w:val="0"/>
        <w:spacing w:line="360" w:lineRule="atLeast"/>
        <w:jc w:val="left"/>
        <w:textAlignment w:val="baseline"/>
        <w:rPr>
          <w:rFonts w:ascii="仿宋" w:hAnsi="仿宋" w:eastAsia="仿宋" w:cs="仿宋"/>
          <w:b/>
          <w:color w:val="auto"/>
          <w:sz w:val="28"/>
          <w:highlight w:val="none"/>
        </w:rPr>
      </w:pPr>
    </w:p>
    <w:p>
      <w:pPr>
        <w:adjustRightInd w:val="0"/>
        <w:spacing w:line="360" w:lineRule="atLeast"/>
        <w:jc w:val="left"/>
        <w:textAlignment w:val="baseline"/>
        <w:rPr>
          <w:rFonts w:ascii="仿宋" w:hAnsi="仿宋" w:eastAsia="仿宋" w:cs="仿宋"/>
          <w:b/>
          <w:color w:val="auto"/>
          <w:sz w:val="28"/>
          <w:highlight w:val="none"/>
        </w:rPr>
      </w:pPr>
      <w:r>
        <w:rPr>
          <w:rFonts w:hint="eastAsia" w:ascii="仿宋" w:hAnsi="仿宋" w:eastAsia="仿宋" w:cs="仿宋"/>
          <w:b/>
          <w:color w:val="auto"/>
          <w:sz w:val="28"/>
          <w:highlight w:val="none"/>
        </w:rPr>
        <w:t xml:space="preserve"> </w:t>
      </w:r>
    </w:p>
    <w:p>
      <w:pPr>
        <w:jc w:val="left"/>
        <w:outlineLvl w:val="2"/>
        <w:rPr>
          <w:rFonts w:ascii="仿宋" w:hAnsi="仿宋" w:eastAsia="仿宋" w:cs="仿宋"/>
          <w:b/>
          <w:color w:val="auto"/>
          <w:sz w:val="24"/>
          <w:highlight w:val="none"/>
        </w:rPr>
      </w:pPr>
      <w:bookmarkStart w:id="479" w:name="_Ref527015333"/>
      <w:bookmarkStart w:id="480" w:name="_Toc7005121"/>
      <w:r>
        <w:rPr>
          <w:rFonts w:hint="eastAsia" w:ascii="仿宋" w:hAnsi="仿宋" w:eastAsia="仿宋" w:cs="仿宋"/>
          <w:b/>
          <w:color w:val="auto"/>
          <w:sz w:val="24"/>
          <w:highlight w:val="none"/>
        </w:rPr>
        <w:t>6-2  2020-2022年度任意一年</w:t>
      </w:r>
      <w:bookmarkEnd w:id="479"/>
      <w:bookmarkEnd w:id="480"/>
      <w:r>
        <w:rPr>
          <w:rFonts w:hint="eastAsia" w:ascii="仿宋" w:hAnsi="仿宋" w:eastAsia="仿宋" w:cs="仿宋"/>
          <w:b/>
          <w:color w:val="auto"/>
          <w:sz w:val="24"/>
          <w:highlight w:val="none"/>
        </w:rPr>
        <w:t>的财务审计报告</w:t>
      </w:r>
    </w:p>
    <w:p>
      <w:pPr>
        <w:spacing w:line="360" w:lineRule="auto"/>
        <w:rPr>
          <w:rFonts w:ascii="仿宋" w:hAnsi="仿宋" w:eastAsia="仿宋" w:cs="仿宋"/>
          <w:color w:val="auto"/>
          <w:szCs w:val="21"/>
          <w:highlight w:val="none"/>
        </w:rPr>
      </w:pPr>
    </w:p>
    <w:p>
      <w:pPr>
        <w:tabs>
          <w:tab w:val="left" w:pos="993"/>
          <w:tab w:val="left" w:pos="1030"/>
          <w:tab w:val="left" w:pos="8364"/>
        </w:tabs>
        <w:snapToGrid w:val="0"/>
        <w:spacing w:after="120" w:afterLines="50"/>
        <w:ind w:right="-57" w:rightChars="-27"/>
        <w:rPr>
          <w:rFonts w:ascii="仿宋" w:hAnsi="仿宋" w:eastAsia="仿宋" w:cs="仿宋"/>
          <w:color w:val="auto"/>
          <w:sz w:val="24"/>
          <w:highlight w:val="none"/>
        </w:rPr>
      </w:pPr>
      <w:r>
        <w:rPr>
          <w:rFonts w:hint="eastAsia" w:ascii="仿宋" w:hAnsi="仿宋" w:eastAsia="仿宋" w:cs="仿宋"/>
          <w:color w:val="auto"/>
          <w:sz w:val="24"/>
          <w:highlight w:val="none"/>
        </w:rPr>
        <w:t>提供供应商2020-2022年度任意一年的财务审计报告复印件或扫描件、所有复印件或扫描件需加盖单位公章。</w:t>
      </w:r>
    </w:p>
    <w:p>
      <w:pPr>
        <w:spacing w:line="360" w:lineRule="auto"/>
        <w:rPr>
          <w:rFonts w:ascii="仿宋" w:hAnsi="仿宋" w:eastAsia="仿宋" w:cs="仿宋"/>
          <w:color w:val="auto"/>
          <w:szCs w:val="21"/>
          <w:highlight w:val="none"/>
        </w:rPr>
      </w:pPr>
    </w:p>
    <w:p>
      <w:pPr>
        <w:tabs>
          <w:tab w:val="left" w:pos="993"/>
          <w:tab w:val="left" w:pos="1030"/>
          <w:tab w:val="left" w:pos="8364"/>
        </w:tabs>
        <w:snapToGrid w:val="0"/>
        <w:spacing w:after="120" w:afterLines="50"/>
        <w:ind w:left="420" w:right="-57" w:rightChars="-27"/>
        <w:jc w:val="left"/>
        <w:rPr>
          <w:rFonts w:ascii="仿宋" w:hAnsi="仿宋" w:eastAsia="仿宋" w:cs="仿宋"/>
          <w:b/>
          <w:color w:val="auto"/>
          <w:spacing w:val="20"/>
          <w:sz w:val="24"/>
          <w:highlight w:val="none"/>
        </w:rPr>
      </w:pPr>
    </w:p>
    <w:p>
      <w:pPr>
        <w:jc w:val="left"/>
        <w:outlineLvl w:val="2"/>
        <w:rPr>
          <w:rFonts w:ascii="仿宋" w:hAnsi="仿宋" w:eastAsia="仿宋" w:cs="仿宋"/>
          <w:b/>
          <w:color w:val="auto"/>
          <w:sz w:val="24"/>
          <w:highlight w:val="none"/>
        </w:rPr>
      </w:pPr>
      <w:bookmarkStart w:id="481" w:name="_Toc7005122"/>
      <w:r>
        <w:rPr>
          <w:rFonts w:hint="eastAsia" w:ascii="仿宋" w:hAnsi="仿宋" w:eastAsia="仿宋" w:cs="仿宋"/>
          <w:b/>
          <w:color w:val="auto"/>
          <w:sz w:val="24"/>
          <w:highlight w:val="none"/>
        </w:rPr>
        <w:t>或  6-2  本年度基本开户银行出具的资信证明</w:t>
      </w:r>
      <w:bookmarkEnd w:id="481"/>
    </w:p>
    <w:p>
      <w:pPr>
        <w:spacing w:line="360" w:lineRule="auto"/>
        <w:rPr>
          <w:rFonts w:ascii="仿宋" w:hAnsi="仿宋" w:eastAsia="仿宋" w:cs="仿宋"/>
          <w:color w:val="auto"/>
          <w:szCs w:val="21"/>
          <w:highlight w:val="none"/>
        </w:rPr>
      </w:pPr>
    </w:p>
    <w:p>
      <w:pPr>
        <w:widowControl/>
        <w:jc w:val="left"/>
        <w:rPr>
          <w:rFonts w:ascii="仿宋" w:hAnsi="仿宋" w:eastAsia="仿宋" w:cs="仿宋"/>
          <w:b/>
          <w:color w:val="auto"/>
          <w:spacing w:val="20"/>
          <w:sz w:val="24"/>
          <w:highlight w:val="none"/>
        </w:rPr>
      </w:pPr>
    </w:p>
    <w:p>
      <w:pPr>
        <w:tabs>
          <w:tab w:val="left" w:pos="5580"/>
        </w:tabs>
        <w:spacing w:before="120" w:line="360" w:lineRule="auto"/>
        <w:ind w:firstLine="480" w:firstLineChars="200"/>
        <w:rPr>
          <w:rFonts w:ascii="仿宋" w:hAnsi="仿宋" w:eastAsia="仿宋" w:cs="仿宋"/>
          <w:color w:val="auto"/>
          <w:sz w:val="24"/>
          <w:highlight w:val="none"/>
        </w:rPr>
      </w:pPr>
    </w:p>
    <w:p>
      <w:pPr>
        <w:jc w:val="left"/>
        <w:outlineLvl w:val="2"/>
        <w:rPr>
          <w:rFonts w:ascii="仿宋" w:hAnsi="仿宋" w:eastAsia="仿宋" w:cs="仿宋"/>
          <w:b/>
          <w:color w:val="auto"/>
          <w:sz w:val="24"/>
          <w:highlight w:val="none"/>
        </w:rPr>
      </w:pPr>
      <w:bookmarkStart w:id="482" w:name="_Toc7005123"/>
      <w:r>
        <w:rPr>
          <w:rFonts w:hint="eastAsia" w:ascii="仿宋" w:hAnsi="仿宋" w:eastAsia="仿宋" w:cs="仿宋"/>
          <w:b/>
          <w:color w:val="auto"/>
          <w:sz w:val="24"/>
          <w:highlight w:val="none"/>
        </w:rPr>
        <w:t>6-3 依法缴纳税收的证明</w:t>
      </w:r>
      <w:bookmarkEnd w:id="482"/>
    </w:p>
    <w:p>
      <w:pPr>
        <w:tabs>
          <w:tab w:val="left" w:pos="993"/>
          <w:tab w:val="left" w:pos="1030"/>
          <w:tab w:val="left" w:pos="8364"/>
        </w:tabs>
        <w:snapToGrid w:val="0"/>
        <w:spacing w:after="120" w:afterLines="50"/>
        <w:ind w:left="420" w:right="-57" w:rightChars="-27" w:firstLine="480" w:firstLineChars="200"/>
        <w:jc w:val="left"/>
        <w:rPr>
          <w:rFonts w:ascii="仿宋" w:hAnsi="仿宋" w:eastAsia="仿宋" w:cs="仿宋"/>
          <w:color w:val="auto"/>
          <w:sz w:val="24"/>
          <w:highlight w:val="none"/>
        </w:rPr>
      </w:pPr>
    </w:p>
    <w:p>
      <w:pPr>
        <w:tabs>
          <w:tab w:val="left" w:pos="993"/>
          <w:tab w:val="left" w:pos="1030"/>
          <w:tab w:val="left" w:pos="8364"/>
        </w:tabs>
        <w:snapToGrid w:val="0"/>
        <w:spacing w:after="120" w:afterLines="50"/>
        <w:ind w:right="-57" w:rightChars="-27"/>
        <w:jc w:val="left"/>
        <w:rPr>
          <w:rFonts w:ascii="仿宋" w:hAnsi="仿宋" w:eastAsia="仿宋" w:cs="仿宋"/>
          <w:color w:val="auto"/>
          <w:sz w:val="24"/>
          <w:highlight w:val="none"/>
        </w:rPr>
      </w:pPr>
      <w:r>
        <w:rPr>
          <w:rFonts w:hint="eastAsia" w:ascii="仿宋" w:hAnsi="仿宋" w:eastAsia="仿宋" w:cs="仿宋"/>
          <w:color w:val="auto"/>
          <w:sz w:val="24"/>
          <w:highlight w:val="none"/>
        </w:rPr>
        <w:t>说明：</w:t>
      </w:r>
    </w:p>
    <w:p>
      <w:pPr>
        <w:tabs>
          <w:tab w:val="left" w:pos="993"/>
          <w:tab w:val="left" w:pos="1030"/>
          <w:tab w:val="left" w:pos="8364"/>
        </w:tabs>
        <w:snapToGrid w:val="0"/>
        <w:spacing w:after="120" w:afterLines="50"/>
        <w:ind w:left="420" w:right="-57" w:rightChars="-27"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1、供应商应提供近6个月中任意一个月缴纳税收的凭证（银行出具的缴税凭证或税务机关出具的证明的复印件，并加盖本单位公章）。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720" w:firstLineChars="300"/>
        <w:jc w:val="left"/>
        <w:rPr>
          <w:rFonts w:ascii="仿宋" w:hAnsi="仿宋" w:eastAsia="仿宋" w:cs="仿宋"/>
          <w:color w:val="auto"/>
          <w:sz w:val="24"/>
          <w:highlight w:val="none"/>
        </w:rPr>
      </w:pPr>
      <w:r>
        <w:rPr>
          <w:rFonts w:hint="eastAsia" w:ascii="仿宋" w:hAnsi="仿宋" w:eastAsia="仿宋" w:cs="仿宋"/>
          <w:color w:val="auto"/>
          <w:sz w:val="24"/>
          <w:highlight w:val="none"/>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ascii="仿宋" w:hAnsi="仿宋" w:eastAsia="仿宋" w:cs="仿宋"/>
          <w:color w:val="auto"/>
          <w:sz w:val="24"/>
          <w:highlight w:val="none"/>
        </w:rPr>
      </w:pPr>
    </w:p>
    <w:p>
      <w:pPr>
        <w:spacing w:after="120"/>
        <w:rPr>
          <w:rFonts w:ascii="仿宋" w:hAnsi="仿宋" w:eastAsia="仿宋" w:cs="仿宋"/>
          <w:color w:val="auto"/>
          <w:highlight w:val="none"/>
        </w:rPr>
      </w:pPr>
    </w:p>
    <w:p>
      <w:pPr>
        <w:tabs>
          <w:tab w:val="left" w:pos="993"/>
          <w:tab w:val="left" w:pos="1030"/>
          <w:tab w:val="left" w:pos="8364"/>
        </w:tabs>
        <w:snapToGrid w:val="0"/>
        <w:spacing w:after="120" w:afterLines="50"/>
        <w:ind w:left="420" w:right="-57" w:rightChars="-27" w:firstLine="480" w:firstLineChars="200"/>
        <w:jc w:val="left"/>
        <w:rPr>
          <w:rFonts w:ascii="仿宋" w:hAnsi="仿宋" w:eastAsia="仿宋" w:cs="仿宋"/>
          <w:color w:val="auto"/>
          <w:sz w:val="24"/>
          <w:highlight w:val="none"/>
        </w:rPr>
      </w:pPr>
    </w:p>
    <w:p>
      <w:pPr>
        <w:jc w:val="left"/>
        <w:outlineLvl w:val="2"/>
        <w:rPr>
          <w:rFonts w:ascii="仿宋" w:hAnsi="仿宋" w:eastAsia="仿宋" w:cs="仿宋"/>
          <w:b/>
          <w:color w:val="auto"/>
          <w:sz w:val="24"/>
          <w:highlight w:val="none"/>
        </w:rPr>
      </w:pPr>
      <w:bookmarkStart w:id="483" w:name="_Toc7005124"/>
      <w:r>
        <w:rPr>
          <w:rFonts w:hint="eastAsia" w:ascii="仿宋" w:hAnsi="仿宋" w:eastAsia="仿宋" w:cs="仿宋"/>
          <w:b/>
          <w:color w:val="auto"/>
          <w:sz w:val="24"/>
          <w:highlight w:val="none"/>
        </w:rPr>
        <w:t>6-4社会保障资金缴纳记录</w:t>
      </w:r>
      <w:bookmarkEnd w:id="483"/>
    </w:p>
    <w:p>
      <w:pPr>
        <w:tabs>
          <w:tab w:val="left" w:pos="993"/>
          <w:tab w:val="left" w:pos="1030"/>
          <w:tab w:val="left" w:pos="8364"/>
        </w:tabs>
        <w:snapToGrid w:val="0"/>
        <w:spacing w:after="120" w:afterLines="50"/>
        <w:ind w:left="420" w:leftChars="200" w:right="-57" w:rightChars="-27"/>
        <w:jc w:val="left"/>
        <w:rPr>
          <w:rFonts w:ascii="仿宋" w:hAnsi="仿宋" w:eastAsia="仿宋" w:cs="仿宋"/>
          <w:color w:val="auto"/>
          <w:sz w:val="24"/>
          <w:highlight w:val="none"/>
        </w:rPr>
      </w:pPr>
      <w:r>
        <w:rPr>
          <w:rFonts w:hint="eastAsia" w:ascii="仿宋" w:hAnsi="仿宋" w:eastAsia="仿宋" w:cs="仿宋"/>
          <w:color w:val="auto"/>
          <w:sz w:val="24"/>
          <w:highlight w:val="none"/>
        </w:rPr>
        <w:cr/>
      </w:r>
    </w:p>
    <w:p>
      <w:pPr>
        <w:tabs>
          <w:tab w:val="left" w:pos="993"/>
          <w:tab w:val="left" w:pos="1030"/>
          <w:tab w:val="left" w:pos="8364"/>
        </w:tabs>
        <w:snapToGrid w:val="0"/>
        <w:spacing w:after="120" w:afterLines="50"/>
        <w:ind w:left="420" w:leftChars="200" w:right="-57" w:rightChars="-27"/>
        <w:jc w:val="left"/>
        <w:rPr>
          <w:rFonts w:ascii="仿宋" w:hAnsi="仿宋" w:eastAsia="仿宋" w:cs="仿宋"/>
          <w:color w:val="auto"/>
          <w:sz w:val="24"/>
          <w:highlight w:val="none"/>
        </w:rPr>
      </w:pPr>
      <w:r>
        <w:rPr>
          <w:rFonts w:hint="eastAsia" w:ascii="仿宋" w:hAnsi="仿宋" w:eastAsia="仿宋" w:cs="仿宋"/>
          <w:color w:val="auto"/>
          <w:sz w:val="24"/>
          <w:highlight w:val="none"/>
        </w:rPr>
        <w:t>说明：</w:t>
      </w:r>
    </w:p>
    <w:p>
      <w:pPr>
        <w:numPr>
          <w:ilvl w:val="0"/>
          <w:numId w:val="15"/>
        </w:numPr>
        <w:tabs>
          <w:tab w:val="left" w:pos="993"/>
          <w:tab w:val="left" w:pos="1030"/>
          <w:tab w:val="left" w:pos="8364"/>
        </w:tabs>
        <w:snapToGrid w:val="0"/>
        <w:spacing w:after="120" w:afterLines="50"/>
        <w:ind w:left="420" w:leftChars="200" w:right="-57" w:rightChars="-27"/>
        <w:jc w:val="left"/>
        <w:rPr>
          <w:rFonts w:ascii="仿宋" w:hAnsi="仿宋" w:eastAsia="仿宋" w:cs="仿宋"/>
          <w:color w:val="auto"/>
          <w:sz w:val="24"/>
          <w:highlight w:val="none"/>
        </w:rPr>
      </w:pPr>
      <w:r>
        <w:rPr>
          <w:rFonts w:hint="eastAsia" w:ascii="仿宋" w:hAnsi="仿宋" w:eastAsia="仿宋" w:cs="仿宋"/>
          <w:color w:val="auto"/>
          <w:sz w:val="24"/>
          <w:highlight w:val="none"/>
        </w:rPr>
        <w:t>供应商应提供近6个月中任意一个月的缴纳社会保险的凭据，并加盖本单位公章。</w:t>
      </w:r>
    </w:p>
    <w:p>
      <w:pPr>
        <w:numPr>
          <w:ilvl w:val="0"/>
          <w:numId w:val="15"/>
        </w:numPr>
        <w:tabs>
          <w:tab w:val="left" w:pos="993"/>
          <w:tab w:val="left" w:pos="1030"/>
          <w:tab w:val="left" w:pos="8364"/>
        </w:tabs>
        <w:snapToGrid w:val="0"/>
        <w:spacing w:after="120" w:afterLines="50"/>
        <w:ind w:left="420" w:leftChars="200" w:right="-57" w:rightChars="-27"/>
        <w:jc w:val="left"/>
        <w:rPr>
          <w:rFonts w:ascii="仿宋" w:hAnsi="仿宋" w:eastAsia="仿宋" w:cs="仿宋"/>
          <w:color w:val="auto"/>
          <w:sz w:val="24"/>
          <w:highlight w:val="none"/>
        </w:rPr>
      </w:pPr>
      <w:r>
        <w:rPr>
          <w:rFonts w:hint="eastAsia" w:ascii="仿宋" w:hAnsi="仿宋" w:eastAsia="仿宋" w:cs="仿宋"/>
          <w:color w:val="auto"/>
          <w:sz w:val="24"/>
          <w:highlight w:val="none"/>
        </w:rPr>
        <w:t>不需要缴纳社会保障资金的供应商，应提供相应文件证明其不需要缴纳社会保障资金。</w:t>
      </w:r>
    </w:p>
    <w:p>
      <w:pPr>
        <w:tabs>
          <w:tab w:val="left" w:pos="5580"/>
        </w:tabs>
        <w:spacing w:before="120" w:line="360" w:lineRule="auto"/>
        <w:ind w:firstLine="480" w:firstLineChars="200"/>
        <w:rPr>
          <w:rFonts w:ascii="仿宋" w:hAnsi="仿宋" w:eastAsia="仿宋" w:cs="仿宋"/>
          <w:color w:val="auto"/>
          <w:sz w:val="24"/>
          <w:highlight w:val="none"/>
        </w:rPr>
      </w:pPr>
    </w:p>
    <w:p>
      <w:pPr>
        <w:tabs>
          <w:tab w:val="left" w:pos="5580"/>
        </w:tabs>
        <w:spacing w:before="120" w:line="360" w:lineRule="auto"/>
        <w:ind w:firstLine="480" w:firstLineChars="200"/>
        <w:rPr>
          <w:rFonts w:ascii="仿宋" w:hAnsi="仿宋" w:eastAsia="仿宋" w:cs="仿宋"/>
          <w:color w:val="auto"/>
          <w:sz w:val="24"/>
          <w:highlight w:val="none"/>
        </w:rPr>
      </w:pPr>
    </w:p>
    <w:p>
      <w:pPr>
        <w:rPr>
          <w:rFonts w:ascii="仿宋" w:hAnsi="仿宋" w:eastAsia="仿宋" w:cs="仿宋"/>
          <w:b/>
          <w:bCs/>
          <w:color w:val="auto"/>
          <w:sz w:val="24"/>
          <w:highlight w:val="none"/>
        </w:rPr>
      </w:pPr>
      <w:bookmarkStart w:id="484" w:name="_Toc7005125"/>
      <w:r>
        <w:rPr>
          <w:rFonts w:hint="eastAsia" w:ascii="仿宋" w:hAnsi="仿宋" w:eastAsia="仿宋" w:cs="仿宋"/>
          <w:b/>
          <w:bCs/>
          <w:color w:val="auto"/>
          <w:sz w:val="24"/>
          <w:highlight w:val="none"/>
        </w:rPr>
        <w:br w:type="page"/>
      </w:r>
    </w:p>
    <w:p>
      <w:pPr>
        <w:jc w:val="left"/>
        <w:outlineLvl w:val="2"/>
        <w:rPr>
          <w:rFonts w:ascii="仿宋" w:hAnsi="仿宋" w:eastAsia="仿宋" w:cs="仿宋"/>
          <w:b/>
          <w:color w:val="auto"/>
          <w:sz w:val="24"/>
          <w:highlight w:val="none"/>
        </w:rPr>
      </w:pPr>
      <w:r>
        <w:rPr>
          <w:rFonts w:hint="eastAsia" w:ascii="仿宋" w:hAnsi="仿宋" w:eastAsia="仿宋" w:cs="仿宋"/>
          <w:b/>
          <w:bCs/>
          <w:color w:val="auto"/>
          <w:sz w:val="24"/>
          <w:highlight w:val="none"/>
        </w:rPr>
        <w:t xml:space="preserve">6-5 </w:t>
      </w:r>
      <w:r>
        <w:rPr>
          <w:rFonts w:hint="eastAsia" w:ascii="仿宋" w:hAnsi="仿宋" w:eastAsia="仿宋" w:cs="仿宋"/>
          <w:b/>
          <w:color w:val="auto"/>
          <w:sz w:val="24"/>
          <w:highlight w:val="none"/>
        </w:rPr>
        <w:t>具备履行合同所必需的设备和专业技术能力承诺书</w:t>
      </w:r>
      <w:bookmarkEnd w:id="484"/>
      <w:r>
        <w:rPr>
          <w:rFonts w:hint="eastAsia" w:ascii="仿宋" w:hAnsi="仿宋" w:eastAsia="仿宋" w:cs="仿宋"/>
          <w:b/>
          <w:color w:val="auto"/>
          <w:sz w:val="24"/>
          <w:highlight w:val="none"/>
        </w:rPr>
        <w:t xml:space="preserve">                                                                                                                                                                                                                                                                                                                                                                                                                                                                                                                                                                                                                                                                                                      </w:t>
      </w:r>
    </w:p>
    <w:p>
      <w:pPr>
        <w:ind w:firstLine="480"/>
        <w:rPr>
          <w:rFonts w:ascii="仿宋" w:hAnsi="仿宋" w:eastAsia="仿宋" w:cs="仿宋"/>
          <w:color w:val="auto"/>
          <w:kern w:val="0"/>
          <w:sz w:val="24"/>
          <w:highlight w:val="none"/>
        </w:rPr>
      </w:pPr>
    </w:p>
    <w:p>
      <w:pPr>
        <w:ind w:firstLine="480"/>
        <w:rPr>
          <w:rFonts w:ascii="仿宋" w:hAnsi="仿宋" w:eastAsia="仿宋" w:cs="仿宋"/>
          <w:color w:val="auto"/>
          <w:kern w:val="0"/>
          <w:sz w:val="24"/>
          <w:highlight w:val="none"/>
        </w:rPr>
      </w:pPr>
    </w:p>
    <w:p>
      <w:pPr>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 xml:space="preserve">陕西省采购招标有限责任公司：  </w:t>
      </w:r>
      <w:r>
        <w:rPr>
          <w:rFonts w:hint="eastAsia" w:ascii="仿宋" w:hAnsi="仿宋" w:eastAsia="仿宋" w:cs="仿宋"/>
          <w:color w:val="auto"/>
          <w:kern w:val="0"/>
          <w:sz w:val="24"/>
          <w:highlight w:val="none"/>
          <w:u w:val="single"/>
        </w:rPr>
        <w:t xml:space="preserve"> </w:t>
      </w:r>
    </w:p>
    <w:p>
      <w:pPr>
        <w:ind w:firstLine="480"/>
        <w:rPr>
          <w:rFonts w:ascii="仿宋" w:hAnsi="仿宋" w:eastAsia="仿宋" w:cs="仿宋"/>
          <w:color w:val="auto"/>
          <w:kern w:val="0"/>
          <w:sz w:val="24"/>
          <w:highlight w:val="none"/>
        </w:rPr>
      </w:pPr>
    </w:p>
    <w:p>
      <w:pPr>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我公司承诺</w:t>
      </w:r>
      <w:r>
        <w:rPr>
          <w:rFonts w:hint="eastAsia" w:ascii="仿宋" w:hAnsi="仿宋" w:eastAsia="仿宋" w:cs="仿宋"/>
          <w:color w:val="auto"/>
          <w:sz w:val="24"/>
          <w:highlight w:val="none"/>
        </w:rPr>
        <w:t>具备履行合同所必需的设备和专业技术能力</w:t>
      </w:r>
      <w:r>
        <w:rPr>
          <w:rFonts w:hint="eastAsia" w:ascii="仿宋" w:hAnsi="仿宋" w:eastAsia="仿宋" w:cs="仿宋"/>
          <w:color w:val="auto"/>
          <w:kern w:val="0"/>
          <w:sz w:val="24"/>
          <w:highlight w:val="none"/>
        </w:rPr>
        <w:t>。</w:t>
      </w:r>
    </w:p>
    <w:p>
      <w:pPr>
        <w:ind w:firstLine="480"/>
        <w:rPr>
          <w:rFonts w:ascii="仿宋" w:hAnsi="仿宋" w:eastAsia="仿宋" w:cs="仿宋"/>
          <w:b/>
          <w:color w:val="auto"/>
          <w:sz w:val="24"/>
          <w:highlight w:val="none"/>
        </w:rPr>
      </w:pPr>
    </w:p>
    <w:p>
      <w:pPr>
        <w:ind w:firstLine="480"/>
        <w:rPr>
          <w:rFonts w:ascii="仿宋" w:hAnsi="仿宋" w:eastAsia="仿宋" w:cs="仿宋"/>
          <w:b/>
          <w:color w:val="auto"/>
          <w:sz w:val="24"/>
          <w:highlight w:val="none"/>
        </w:rPr>
      </w:pPr>
    </w:p>
    <w:p>
      <w:pPr>
        <w:ind w:firstLine="480"/>
        <w:rPr>
          <w:rFonts w:ascii="仿宋" w:hAnsi="仿宋" w:eastAsia="仿宋" w:cs="仿宋"/>
          <w:b/>
          <w:color w:val="auto"/>
          <w:sz w:val="24"/>
          <w:highlight w:val="none"/>
        </w:rPr>
      </w:pPr>
    </w:p>
    <w:p>
      <w:pPr>
        <w:spacing w:before="120" w:after="12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供应商名称（公章）： </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法定代表人（或单位负责人）或其授权代表（签字或盖章）：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ind w:right="280"/>
        <w:rPr>
          <w:rFonts w:ascii="仿宋" w:hAnsi="仿宋" w:eastAsia="仿宋" w:cs="仿宋"/>
          <w:color w:val="auto"/>
          <w:sz w:val="24"/>
          <w:highlight w:val="none"/>
        </w:rPr>
      </w:pPr>
    </w:p>
    <w:p>
      <w:pPr>
        <w:tabs>
          <w:tab w:val="left" w:pos="5580"/>
        </w:tabs>
        <w:spacing w:before="120" w:line="360" w:lineRule="auto"/>
        <w:ind w:firstLine="480" w:firstLineChars="200"/>
        <w:rPr>
          <w:rFonts w:ascii="仿宋" w:hAnsi="仿宋" w:eastAsia="仿宋" w:cs="仿宋"/>
          <w:color w:val="auto"/>
          <w:sz w:val="24"/>
          <w:highlight w:val="none"/>
        </w:rPr>
      </w:pPr>
    </w:p>
    <w:p>
      <w:pPr>
        <w:widowControl/>
        <w:jc w:val="left"/>
        <w:rPr>
          <w:rFonts w:ascii="仿宋" w:hAnsi="仿宋" w:eastAsia="仿宋" w:cs="仿宋"/>
          <w:b/>
          <w:color w:val="auto"/>
          <w:sz w:val="24"/>
          <w:highlight w:val="none"/>
        </w:rPr>
      </w:pPr>
    </w:p>
    <w:p>
      <w:pPr>
        <w:numPr>
          <w:ilvl w:val="1"/>
          <w:numId w:val="16"/>
        </w:numPr>
        <w:jc w:val="left"/>
        <w:outlineLvl w:val="2"/>
        <w:rPr>
          <w:rFonts w:ascii="仿宋" w:hAnsi="仿宋" w:eastAsia="仿宋" w:cs="仿宋"/>
          <w:b/>
          <w:color w:val="auto"/>
          <w:sz w:val="24"/>
          <w:szCs w:val="22"/>
          <w:highlight w:val="none"/>
        </w:rPr>
      </w:pPr>
      <w:bookmarkStart w:id="485" w:name="_Toc7005126"/>
      <w:r>
        <w:rPr>
          <w:rFonts w:hint="eastAsia" w:ascii="仿宋" w:hAnsi="仿宋" w:eastAsia="仿宋" w:cs="仿宋"/>
          <w:b/>
          <w:color w:val="auto"/>
          <w:sz w:val="24"/>
          <w:szCs w:val="22"/>
          <w:highlight w:val="none"/>
        </w:rPr>
        <w:t>供应商参加政府采购活动前3年内在经营活动中没有重大违法记录的书面声明（格式）</w:t>
      </w:r>
      <w:bookmarkEnd w:id="485"/>
    </w:p>
    <w:p>
      <w:pPr>
        <w:jc w:val="center"/>
        <w:rPr>
          <w:rFonts w:ascii="仿宋" w:hAnsi="仿宋" w:eastAsia="仿宋" w:cs="仿宋"/>
          <w:color w:val="auto"/>
          <w:sz w:val="24"/>
          <w:highlight w:val="none"/>
        </w:rPr>
      </w:pPr>
    </w:p>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声明函</w:t>
      </w:r>
    </w:p>
    <w:p>
      <w:pPr>
        <w:jc w:val="center"/>
        <w:rPr>
          <w:rFonts w:ascii="仿宋" w:hAnsi="仿宋" w:eastAsia="仿宋" w:cs="仿宋"/>
          <w:color w:val="auto"/>
          <w:sz w:val="24"/>
          <w:highlight w:val="none"/>
        </w:rPr>
      </w:pPr>
    </w:p>
    <w:p>
      <w:pPr>
        <w:tabs>
          <w:tab w:val="left" w:pos="5580"/>
        </w:tabs>
        <w:spacing w:before="12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陕西省采购招标有限责任公司：  </w:t>
      </w:r>
    </w:p>
    <w:p>
      <w:pPr>
        <w:tabs>
          <w:tab w:val="left" w:pos="5580"/>
        </w:tabs>
        <w:spacing w:before="12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我公司郑重承诺在参加本项目政府采购活动前三年内，在经营活动中无重大违法记录。</w:t>
      </w:r>
    </w:p>
    <w:p>
      <w:pPr>
        <w:tabs>
          <w:tab w:val="left" w:pos="5580"/>
        </w:tabs>
        <w:spacing w:before="12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特此声明。</w:t>
      </w:r>
    </w:p>
    <w:p>
      <w:pPr>
        <w:tabs>
          <w:tab w:val="left" w:pos="5580"/>
        </w:tabs>
        <w:spacing w:before="120" w:line="360" w:lineRule="auto"/>
        <w:ind w:firstLine="480" w:firstLineChars="200"/>
        <w:rPr>
          <w:rFonts w:ascii="仿宋" w:hAnsi="仿宋" w:eastAsia="仿宋" w:cs="仿宋"/>
          <w:color w:val="auto"/>
          <w:sz w:val="24"/>
          <w:highlight w:val="none"/>
        </w:rPr>
      </w:pPr>
    </w:p>
    <w:p>
      <w:pPr>
        <w:spacing w:before="120" w:after="12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供应商名称（公章）： </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法定代表人（或单位负责人）或其授权代表（签字或盖章）：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after="120"/>
        <w:rPr>
          <w:rFonts w:ascii="仿宋" w:hAnsi="仿宋" w:eastAsia="仿宋" w:cs="仿宋"/>
          <w:color w:val="auto"/>
          <w:highlight w:val="none"/>
        </w:rPr>
      </w:pPr>
    </w:p>
    <w:p>
      <w:pPr>
        <w:rPr>
          <w:rFonts w:ascii="仿宋" w:hAnsi="仿宋" w:eastAsia="仿宋" w:cs="仿宋"/>
          <w:color w:val="auto"/>
          <w:highlight w:val="none"/>
        </w:rPr>
      </w:pPr>
      <w:r>
        <w:rPr>
          <w:rFonts w:hint="eastAsia" w:ascii="仿宋" w:hAnsi="仿宋" w:eastAsia="仿宋" w:cs="仿宋"/>
          <w:color w:val="auto"/>
          <w:highlight w:val="none"/>
        </w:rPr>
        <w:br w:type="page"/>
      </w:r>
    </w:p>
    <w:p>
      <w:pPr>
        <w:numPr>
          <w:ilvl w:val="1"/>
          <w:numId w:val="17"/>
        </w:numPr>
        <w:jc w:val="left"/>
        <w:outlineLvl w:val="2"/>
        <w:rPr>
          <w:rFonts w:ascii="仿宋" w:hAnsi="仿宋" w:eastAsia="仿宋" w:cs="仿宋"/>
          <w:b/>
          <w:color w:val="auto"/>
          <w:sz w:val="24"/>
          <w:szCs w:val="22"/>
          <w:highlight w:val="none"/>
        </w:rPr>
      </w:pPr>
      <w:bookmarkStart w:id="486" w:name="_Toc7005127"/>
      <w:r>
        <w:rPr>
          <w:rFonts w:hint="eastAsia" w:ascii="仿宋" w:hAnsi="仿宋" w:eastAsia="仿宋" w:cs="仿宋"/>
          <w:b/>
          <w:color w:val="auto"/>
          <w:sz w:val="24"/>
          <w:szCs w:val="22"/>
          <w:highlight w:val="none"/>
        </w:rPr>
        <w:t xml:space="preserve"> 供应商控股股东名称、控股公司的名称和存在管理、被管理关系的单位名称说明</w:t>
      </w:r>
      <w:bookmarkEnd w:id="486"/>
    </w:p>
    <w:p>
      <w:pPr>
        <w:ind w:firstLine="420"/>
        <w:rPr>
          <w:rFonts w:ascii="仿宋" w:hAnsi="仿宋" w:eastAsia="仿宋" w:cs="仿宋"/>
          <w:color w:val="auto"/>
          <w:szCs w:val="21"/>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陕西省采购招标有限责任公司：</w:t>
      </w:r>
    </w:p>
    <w:p>
      <w:pPr>
        <w:spacing w:after="120"/>
        <w:rPr>
          <w:rFonts w:ascii="仿宋" w:hAnsi="仿宋" w:eastAsia="仿宋" w:cs="仿宋"/>
          <w:color w:val="auto"/>
          <w:highlight w:val="none"/>
        </w:rPr>
      </w:pPr>
    </w:p>
    <w:p>
      <w:pPr>
        <w:ind w:firstLine="426"/>
        <w:rPr>
          <w:rFonts w:ascii="仿宋" w:hAnsi="仿宋" w:eastAsia="仿宋" w:cs="仿宋"/>
          <w:color w:val="auto"/>
          <w:sz w:val="24"/>
          <w:highlight w:val="none"/>
        </w:rPr>
      </w:pPr>
      <w:r>
        <w:rPr>
          <w:rFonts w:hint="eastAsia" w:ascii="仿宋" w:hAnsi="仿宋" w:eastAsia="仿宋" w:cs="仿宋"/>
          <w:color w:val="auto"/>
          <w:sz w:val="24"/>
          <w:highlight w:val="none"/>
        </w:rPr>
        <w:t>与我方的法定代表人（或单位负责人）为同一人的企业如下：</w:t>
      </w:r>
    </w:p>
    <w:p>
      <w:pPr>
        <w:ind w:firstLine="426"/>
        <w:rPr>
          <w:rFonts w:ascii="仿宋" w:hAnsi="仿宋" w:eastAsia="仿宋" w:cs="仿宋"/>
          <w:color w:val="auto"/>
          <w:sz w:val="24"/>
          <w:highlight w:val="none"/>
        </w:rPr>
      </w:pPr>
    </w:p>
    <w:p>
      <w:pPr>
        <w:ind w:firstLine="426"/>
        <w:rPr>
          <w:rFonts w:ascii="仿宋" w:hAnsi="仿宋" w:eastAsia="仿宋" w:cs="仿宋"/>
          <w:color w:val="auto"/>
          <w:sz w:val="24"/>
          <w:highlight w:val="none"/>
        </w:rPr>
      </w:pPr>
      <w:r>
        <w:rPr>
          <w:rFonts w:hint="eastAsia" w:ascii="仿宋" w:hAnsi="仿宋" w:eastAsia="仿宋" w:cs="仿宋"/>
          <w:color w:val="auto"/>
          <w:sz w:val="24"/>
          <w:highlight w:val="none"/>
        </w:rPr>
        <w:t>我方的控股股东如下：</w:t>
      </w:r>
    </w:p>
    <w:p>
      <w:pPr>
        <w:ind w:firstLine="426"/>
        <w:rPr>
          <w:rFonts w:ascii="仿宋" w:hAnsi="仿宋" w:eastAsia="仿宋" w:cs="仿宋"/>
          <w:color w:val="auto"/>
          <w:sz w:val="24"/>
          <w:highlight w:val="none"/>
        </w:rPr>
      </w:pPr>
    </w:p>
    <w:p>
      <w:pPr>
        <w:ind w:firstLine="426"/>
        <w:rPr>
          <w:rFonts w:ascii="仿宋" w:hAnsi="仿宋" w:eastAsia="仿宋" w:cs="仿宋"/>
          <w:color w:val="auto"/>
          <w:sz w:val="24"/>
          <w:highlight w:val="none"/>
        </w:rPr>
      </w:pPr>
      <w:r>
        <w:rPr>
          <w:rFonts w:hint="eastAsia" w:ascii="仿宋" w:hAnsi="仿宋" w:eastAsia="仿宋" w:cs="仿宋"/>
          <w:color w:val="auto"/>
          <w:sz w:val="24"/>
          <w:highlight w:val="none"/>
        </w:rPr>
        <w:t>我方直接控股的企业如下：</w:t>
      </w:r>
    </w:p>
    <w:p>
      <w:pPr>
        <w:ind w:firstLine="426"/>
        <w:rPr>
          <w:rFonts w:ascii="仿宋" w:hAnsi="仿宋" w:eastAsia="仿宋" w:cs="仿宋"/>
          <w:color w:val="auto"/>
          <w:sz w:val="24"/>
          <w:highlight w:val="none"/>
        </w:rPr>
      </w:pPr>
    </w:p>
    <w:p>
      <w:pPr>
        <w:ind w:firstLine="426"/>
        <w:rPr>
          <w:rFonts w:ascii="仿宋" w:hAnsi="仿宋" w:eastAsia="仿宋" w:cs="仿宋"/>
          <w:color w:val="auto"/>
          <w:sz w:val="24"/>
          <w:highlight w:val="none"/>
        </w:rPr>
      </w:pPr>
      <w:r>
        <w:rPr>
          <w:rFonts w:hint="eastAsia" w:ascii="仿宋" w:hAnsi="仿宋" w:eastAsia="仿宋" w:cs="仿宋"/>
          <w:color w:val="auto"/>
          <w:sz w:val="24"/>
          <w:highlight w:val="none"/>
        </w:rPr>
        <w:t>与我方存在管理、被管理关系的单位名称如下：</w:t>
      </w:r>
    </w:p>
    <w:p>
      <w:pPr>
        <w:ind w:firstLine="426"/>
        <w:rPr>
          <w:rFonts w:ascii="仿宋" w:hAnsi="仿宋" w:eastAsia="仿宋" w:cs="仿宋"/>
          <w:color w:val="auto"/>
          <w:sz w:val="24"/>
          <w:highlight w:val="none"/>
        </w:rPr>
      </w:pPr>
    </w:p>
    <w:p>
      <w:pPr>
        <w:ind w:firstLine="426"/>
        <w:rPr>
          <w:rFonts w:ascii="仿宋" w:hAnsi="仿宋" w:eastAsia="仿宋" w:cs="仿宋"/>
          <w:color w:val="auto"/>
          <w:szCs w:val="21"/>
          <w:highlight w:val="none"/>
        </w:rPr>
      </w:pPr>
    </w:p>
    <w:p>
      <w:pPr>
        <w:spacing w:before="120" w:after="12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供应商名称（公章）： </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法定代表人（或单位负责人）或其授权代表（签字或盖章）：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ind w:firstLine="420" w:firstLineChars="200"/>
        <w:rPr>
          <w:rFonts w:ascii="仿宋" w:hAnsi="仿宋" w:eastAsia="仿宋" w:cs="仿宋"/>
          <w:color w:val="auto"/>
          <w:szCs w:val="21"/>
          <w:highlight w:val="none"/>
        </w:rPr>
      </w:pPr>
    </w:p>
    <w:p>
      <w:pPr>
        <w:ind w:firstLine="420" w:firstLineChars="200"/>
        <w:rPr>
          <w:rFonts w:ascii="仿宋" w:hAnsi="仿宋" w:eastAsia="仿宋" w:cs="仿宋"/>
          <w:color w:val="auto"/>
          <w:szCs w:val="21"/>
          <w:highlight w:val="none"/>
        </w:rPr>
      </w:pPr>
    </w:p>
    <w:p>
      <w:pPr>
        <w:ind w:firstLine="420" w:firstLineChars="200"/>
        <w:rPr>
          <w:rFonts w:ascii="仿宋" w:hAnsi="仿宋" w:eastAsia="仿宋" w:cs="仿宋"/>
          <w:color w:val="auto"/>
          <w:szCs w:val="21"/>
          <w:highlight w:val="none"/>
        </w:rPr>
      </w:pPr>
    </w:p>
    <w:p>
      <w:pPr>
        <w:numPr>
          <w:ilvl w:val="1"/>
          <w:numId w:val="17"/>
        </w:numPr>
        <w:jc w:val="left"/>
        <w:outlineLvl w:val="2"/>
        <w:rPr>
          <w:rFonts w:ascii="仿宋" w:hAnsi="仿宋" w:eastAsia="仿宋" w:cs="仿宋"/>
          <w:b/>
          <w:color w:val="auto"/>
          <w:sz w:val="24"/>
          <w:szCs w:val="22"/>
          <w:highlight w:val="none"/>
        </w:rPr>
      </w:pPr>
      <w:bookmarkStart w:id="487" w:name="_Toc7005128"/>
      <w:r>
        <w:rPr>
          <w:rFonts w:hint="eastAsia" w:ascii="仿宋" w:hAnsi="仿宋" w:eastAsia="仿宋" w:cs="仿宋"/>
          <w:b/>
          <w:color w:val="auto"/>
          <w:sz w:val="24"/>
          <w:szCs w:val="22"/>
          <w:highlight w:val="none"/>
        </w:rPr>
        <w:t xml:space="preserve"> 供应商是否属于为本项目提供整体设计、规范编制或者项目管理、监理、检测等服务的供应商声明</w:t>
      </w:r>
      <w:bookmarkEnd w:id="487"/>
    </w:p>
    <w:p>
      <w:pPr>
        <w:ind w:firstLine="420"/>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陕西省采购招标有限责任公司：</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w:t>
      </w:r>
      <w:r>
        <w:rPr>
          <w:rFonts w:hint="eastAsia" w:ascii="仿宋" w:hAnsi="仿宋" w:eastAsia="仿宋" w:cs="仿宋"/>
          <w:color w:val="auto"/>
          <w:sz w:val="24"/>
          <w:highlight w:val="none"/>
          <w:u w:val="single"/>
        </w:rPr>
        <w:t xml:space="preserve"> 不属于 </w:t>
      </w:r>
      <w:r>
        <w:rPr>
          <w:rFonts w:hint="eastAsia" w:ascii="仿宋" w:hAnsi="仿宋" w:eastAsia="仿宋" w:cs="仿宋"/>
          <w:color w:val="auto"/>
          <w:sz w:val="24"/>
          <w:highlight w:val="none"/>
        </w:rPr>
        <w:t>为本项目提供整体设计、规范编制或者项目管理、监理、检测等服务的供应商。</w:t>
      </w:r>
    </w:p>
    <w:p>
      <w:pPr>
        <w:ind w:firstLine="426"/>
        <w:rPr>
          <w:rFonts w:ascii="仿宋" w:hAnsi="仿宋" w:eastAsia="仿宋" w:cs="仿宋"/>
          <w:color w:val="auto"/>
          <w:sz w:val="24"/>
          <w:highlight w:val="none"/>
        </w:rPr>
      </w:pPr>
    </w:p>
    <w:p>
      <w:pPr>
        <w:ind w:firstLine="426"/>
        <w:rPr>
          <w:rFonts w:ascii="仿宋" w:hAnsi="仿宋" w:eastAsia="仿宋" w:cs="仿宋"/>
          <w:color w:val="auto"/>
          <w:szCs w:val="21"/>
          <w:highlight w:val="none"/>
        </w:rPr>
      </w:pPr>
    </w:p>
    <w:p>
      <w:pPr>
        <w:spacing w:before="120" w:after="12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供应商名称（公章）： </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法定代表人（或单位负责人）或其授权代表（签字或盖章）：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ascii="仿宋" w:hAnsi="仿宋" w:eastAsia="仿宋" w:cs="仿宋"/>
          <w:color w:val="auto"/>
          <w:sz w:val="24"/>
          <w:szCs w:val="21"/>
          <w:highlight w:val="none"/>
          <w:u w:val="single"/>
        </w:rPr>
      </w:pPr>
    </w:p>
    <w:p>
      <w:pPr>
        <w:rPr>
          <w:rFonts w:ascii="仿宋" w:hAnsi="仿宋" w:eastAsia="仿宋" w:cs="仿宋"/>
          <w:color w:val="auto"/>
          <w:sz w:val="24"/>
          <w:highlight w:val="none"/>
        </w:rPr>
      </w:pPr>
    </w:p>
    <w:p>
      <w:pPr>
        <w:spacing w:after="120"/>
        <w:rPr>
          <w:rFonts w:ascii="仿宋" w:hAnsi="仿宋" w:eastAsia="仿宋" w:cs="仿宋"/>
          <w:b/>
          <w:color w:val="auto"/>
          <w:sz w:val="24"/>
          <w:highlight w:val="none"/>
        </w:rPr>
      </w:pPr>
      <w:bookmarkStart w:id="488" w:name="_Toc7005129"/>
      <w:r>
        <w:rPr>
          <w:rFonts w:hint="eastAsia" w:ascii="仿宋" w:hAnsi="仿宋" w:eastAsia="仿宋" w:cs="仿宋"/>
          <w:b/>
          <w:color w:val="auto"/>
          <w:sz w:val="24"/>
          <w:highlight w:val="none"/>
        </w:rPr>
        <w:t>6-9证明供应商符合特定资格条件的证明材料</w:t>
      </w:r>
      <w:bookmarkEnd w:id="488"/>
      <w:r>
        <w:rPr>
          <w:rFonts w:hint="eastAsia" w:ascii="仿宋" w:hAnsi="仿宋" w:eastAsia="仿宋" w:cs="仿宋"/>
          <w:b/>
          <w:color w:val="auto"/>
          <w:sz w:val="24"/>
          <w:highlight w:val="none"/>
        </w:rPr>
        <w:t>：见竞争性磋商公告“申请人资格要求”</w:t>
      </w:r>
    </w:p>
    <w:p>
      <w:pPr>
        <w:rPr>
          <w:rFonts w:ascii="仿宋" w:hAnsi="仿宋" w:eastAsia="仿宋" w:cs="仿宋"/>
          <w:b/>
          <w:bCs/>
          <w:color w:val="auto"/>
          <w:highlight w:val="none"/>
        </w:rPr>
      </w:pPr>
      <w:r>
        <w:rPr>
          <w:rFonts w:hint="eastAsia" w:ascii="仿宋" w:hAnsi="仿宋" w:eastAsia="仿宋" w:cs="仿宋"/>
          <w:b/>
          <w:bCs/>
          <w:color w:val="auto"/>
          <w:highlight w:val="none"/>
        </w:rPr>
        <w:br w:type="page"/>
      </w:r>
    </w:p>
    <w:p>
      <w:pPr>
        <w:pStyle w:val="5"/>
        <w:jc w:val="center"/>
        <w:rPr>
          <w:rFonts w:ascii="仿宋" w:hAnsi="仿宋" w:eastAsia="仿宋" w:cs="仿宋"/>
          <w:b/>
          <w:bCs/>
          <w:color w:val="auto"/>
          <w:highlight w:val="none"/>
        </w:rPr>
      </w:pPr>
      <w:r>
        <w:rPr>
          <w:rFonts w:hint="eastAsia" w:ascii="仿宋" w:hAnsi="仿宋" w:eastAsia="仿宋" w:cs="仿宋"/>
          <w:b/>
          <w:bCs/>
          <w:color w:val="auto"/>
          <w:highlight w:val="none"/>
        </w:rPr>
        <w:t xml:space="preserve">  </w:t>
      </w:r>
      <w:bookmarkStart w:id="489" w:name="_Toc31740"/>
      <w:r>
        <w:rPr>
          <w:rFonts w:hint="eastAsia" w:ascii="仿宋" w:hAnsi="仿宋" w:eastAsia="仿宋" w:cs="仿宋"/>
          <w:b/>
          <w:bCs/>
          <w:color w:val="auto"/>
          <w:highlight w:val="none"/>
        </w:rPr>
        <w:t>一、中小企业、监狱企业、残疾人福利单位声明函</w:t>
      </w:r>
      <w:bookmarkEnd w:id="489"/>
    </w:p>
    <w:p>
      <w:pPr>
        <w:jc w:val="center"/>
        <w:rPr>
          <w:rFonts w:ascii="仿宋" w:hAnsi="仿宋" w:eastAsia="仿宋" w:cs="仿宋"/>
          <w:b/>
          <w:bCs/>
          <w:color w:val="auto"/>
          <w:sz w:val="24"/>
          <w:highlight w:val="none"/>
        </w:rPr>
      </w:pPr>
    </w:p>
    <w:p>
      <w:pPr>
        <w:jc w:val="center"/>
        <w:rPr>
          <w:rFonts w:ascii="仿宋" w:hAnsi="仿宋" w:eastAsia="仿宋" w:cs="仿宋"/>
          <w:color w:val="auto"/>
          <w:sz w:val="24"/>
          <w:highlight w:val="none"/>
        </w:rPr>
      </w:pPr>
    </w:p>
    <w:p>
      <w:pPr>
        <w:ind w:left="315" w:leftChars="150" w:firstLine="270" w:firstLineChars="150"/>
        <w:rPr>
          <w:rFonts w:ascii="仿宋" w:hAnsi="仿宋" w:eastAsia="仿宋" w:cs="仿宋"/>
          <w:color w:val="auto"/>
          <w:kern w:val="0"/>
          <w:sz w:val="18"/>
          <w:szCs w:val="18"/>
          <w:highlight w:val="none"/>
        </w:rPr>
      </w:pPr>
    </w:p>
    <w:p>
      <w:pPr>
        <w:tabs>
          <w:tab w:val="left" w:pos="588"/>
        </w:tabs>
        <w:jc w:val="center"/>
        <w:rPr>
          <w:rFonts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t>中小企业声明函(工程、服务)</w:t>
      </w:r>
    </w:p>
    <w:p>
      <w:pPr>
        <w:spacing w:line="56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本公司(联合体)郑重声明，根据《政府采购促进中小企业发展管理办法》(财库(2020)46号)的规定，本公司(联合体)参加</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eastAsia="zh-CN"/>
        </w:rPr>
        <w:t>西安浐灞生态区管理委员会</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eastAsia="zh-CN"/>
        </w:rPr>
        <w:t>西安浐灞生态区绿地生态城2期东区1#别墅、围墙及白龙池路安全性检测鉴定项目</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71"/>
        <w:numPr>
          <w:ilvl w:val="0"/>
          <w:numId w:val="18"/>
        </w:numPr>
        <w:spacing w:line="560" w:lineRule="exact"/>
        <w:ind w:left="0" w:firstLine="48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highlight w:val="none"/>
          <w:u w:val="single"/>
          <w:lang w:eastAsia="zh-CN"/>
        </w:rPr>
        <w:t>西安浐灞生态区绿地生态城2期东区1#别墅、围墙及白龙池路安全性检测鉴定项目</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，属于</w:t>
      </w:r>
      <w:r>
        <w:rPr>
          <w:rFonts w:hint="eastAsia" w:ascii="仿宋" w:hAnsi="仿宋" w:eastAsia="仿宋" w:cs="仿宋"/>
          <w:color w:val="auto"/>
          <w:kern w:val="0"/>
          <w:sz w:val="24"/>
          <w:szCs w:val="24"/>
          <w:highlight w:val="none"/>
          <w:u w:val="single"/>
        </w:rPr>
        <w:t xml:space="preserve"> 其他未列明行业 </w:t>
      </w:r>
      <w:r>
        <w:rPr>
          <w:rFonts w:hint="eastAsia" w:ascii="仿宋" w:hAnsi="仿宋" w:eastAsia="仿宋" w:cs="仿宋"/>
          <w:color w:val="auto"/>
          <w:kern w:val="0"/>
          <w:sz w:val="24"/>
          <w:szCs w:val="24"/>
          <w:highlight w:val="none"/>
        </w:rPr>
        <w:t>；承建(承接)企业为</w:t>
      </w:r>
      <w:r>
        <w:rPr>
          <w:rFonts w:hint="eastAsia" w:ascii="仿宋" w:hAnsi="仿宋" w:eastAsia="仿宋" w:cs="仿宋"/>
          <w:color w:val="auto"/>
          <w:kern w:val="0"/>
          <w:sz w:val="24"/>
          <w:szCs w:val="24"/>
          <w:highlight w:val="none"/>
          <w:u w:val="single"/>
        </w:rPr>
        <w:t xml:space="preserve"> (企业名称) </w:t>
      </w:r>
      <w:r>
        <w:rPr>
          <w:rFonts w:hint="eastAsia" w:ascii="仿宋" w:hAnsi="仿宋" w:eastAsia="仿宋" w:cs="仿宋"/>
          <w:color w:val="auto"/>
          <w:kern w:val="0"/>
          <w:sz w:val="24"/>
          <w:szCs w:val="24"/>
          <w:highlight w:val="none"/>
        </w:rPr>
        <w:t>，从业人员</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人，营业收入为</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万元，资产总额为</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万元，属于</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(中型企业、小型企业、微型企业) ；</w:t>
      </w:r>
    </w:p>
    <w:p>
      <w:pPr>
        <w:spacing w:line="560" w:lineRule="exact"/>
        <w:ind w:firstLine="480" w:firstLineChars="200"/>
        <w:rPr>
          <w:rFonts w:ascii="仿宋" w:hAnsi="仿宋" w:eastAsia="仿宋" w:cs="仿宋"/>
          <w:color w:val="auto"/>
          <w:kern w:val="0"/>
          <w:sz w:val="24"/>
          <w:highlight w:val="none"/>
        </w:rPr>
      </w:pPr>
    </w:p>
    <w:p>
      <w:pPr>
        <w:spacing w:line="56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以上企业，不属于大企业的分支机构，不存在控股股东为大企业的情形，也不存在与大企业的负责人为同一人的情形。</w:t>
      </w:r>
    </w:p>
    <w:p>
      <w:pPr>
        <w:spacing w:line="560" w:lineRule="exact"/>
        <w:ind w:firstLine="482" w:firstLineChars="200"/>
        <w:rPr>
          <w:rFonts w:ascii="仿宋" w:hAnsi="仿宋" w:eastAsia="仿宋" w:cs="仿宋"/>
          <w:color w:val="auto"/>
          <w:kern w:val="0"/>
          <w:sz w:val="24"/>
          <w:highlight w:val="none"/>
        </w:rPr>
      </w:pPr>
      <w:r>
        <w:rPr>
          <w:rFonts w:hint="eastAsia" w:ascii="仿宋" w:hAnsi="仿宋" w:eastAsia="仿宋" w:cs="仿宋"/>
          <w:b/>
          <w:bCs/>
          <w:i/>
          <w:iCs/>
          <w:color w:val="auto"/>
          <w:kern w:val="0"/>
          <w:sz w:val="24"/>
          <w:highlight w:val="none"/>
        </w:rPr>
        <w:t>请供应商仔细阅读“关于印发中小企业划型标准规定的通知(工信部联企业〔2011〕300号)”文件，根据本项目所属行业的划型标准填写此声明函。</w:t>
      </w:r>
    </w:p>
    <w:p>
      <w:pPr>
        <w:spacing w:line="56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本企业对上述声明内容的真实性负责。如有虚假，将依法承担相应责任。</w:t>
      </w:r>
    </w:p>
    <w:p>
      <w:pPr>
        <w:spacing w:line="56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单位名称(盖章):</w:t>
      </w:r>
    </w:p>
    <w:p>
      <w:pPr>
        <w:spacing w:line="560" w:lineRule="exact"/>
        <w:ind w:firstLine="4320" w:firstLineChars="18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日期：</w:t>
      </w:r>
    </w:p>
    <w:p>
      <w:pPr>
        <w:spacing w:line="560" w:lineRule="exact"/>
        <w:ind w:firstLine="5400" w:firstLineChars="1800"/>
        <w:rPr>
          <w:rFonts w:ascii="仿宋" w:hAnsi="仿宋" w:eastAsia="仿宋" w:cs="仿宋"/>
          <w:color w:val="auto"/>
          <w:kern w:val="0"/>
          <w:sz w:val="30"/>
          <w:szCs w:val="30"/>
          <w:highlight w:val="none"/>
        </w:rPr>
      </w:pPr>
    </w:p>
    <w:p>
      <w:pPr>
        <w:rPr>
          <w:rFonts w:ascii="仿宋" w:hAnsi="仿宋" w:eastAsia="仿宋" w:cs="仿宋"/>
          <w:color w:val="auto"/>
          <w:kern w:val="0"/>
          <w:sz w:val="30"/>
          <w:szCs w:val="30"/>
          <w:highlight w:val="none"/>
          <w:u w:val="single"/>
        </w:rPr>
      </w:pPr>
      <w:r>
        <w:rPr>
          <w:rFonts w:hint="eastAsia" w:ascii="仿宋" w:hAnsi="仿宋" w:eastAsia="仿宋" w:cs="仿宋"/>
          <w:color w:val="auto"/>
          <w:kern w:val="0"/>
          <w:sz w:val="30"/>
          <w:szCs w:val="30"/>
          <w:highlight w:val="none"/>
        </w:rPr>
        <w:t xml:space="preserve"> </w:t>
      </w:r>
      <w:r>
        <w:rPr>
          <w:rFonts w:hint="eastAsia" w:ascii="仿宋" w:hAnsi="仿宋" w:eastAsia="仿宋" w:cs="仿宋"/>
          <w:color w:val="auto"/>
          <w:kern w:val="0"/>
          <w:sz w:val="30"/>
          <w:szCs w:val="30"/>
          <w:highlight w:val="none"/>
          <w:u w:val="single"/>
        </w:rPr>
        <w:t xml:space="preserve">                                                   </w:t>
      </w:r>
    </w:p>
    <w:p>
      <w:pPr>
        <w:ind w:firstLine="105" w:firstLineChars="5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（从业人员、营业收入、资产总额填报上一年度数据，无上一年度数据的新成立企业可不填报）</w:t>
      </w:r>
    </w:p>
    <w:p>
      <w:pP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p>
    <w:p>
      <w:pPr>
        <w:tabs>
          <w:tab w:val="left" w:pos="588"/>
        </w:tabs>
        <w:jc w:val="center"/>
        <w:rPr>
          <w:rFonts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t>二、监狱企业声明函</w:t>
      </w:r>
    </w:p>
    <w:p>
      <w:pPr>
        <w:widowControl/>
        <w:spacing w:before="100" w:beforeAutospacing="1" w:after="100" w:afterAutospacing="1"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本单位郑重声明下列事项（按照实际情况勾选或填空）：</w:t>
      </w:r>
    </w:p>
    <w:p>
      <w:pPr>
        <w:widowControl/>
        <w:spacing w:before="100" w:beforeAutospacing="1" w:after="100" w:afterAutospacing="1"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本单位为直接供应商，提供本单位制造的货物。</w:t>
      </w:r>
    </w:p>
    <w:p>
      <w:pPr>
        <w:widowControl/>
        <w:spacing w:before="100" w:beforeAutospacing="1" w:after="100" w:afterAutospacing="1" w:line="360" w:lineRule="auto"/>
        <w:ind w:firstLine="360" w:firstLineChars="15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（1）本企业（单位）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（2）本企业（单位）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（请填写：是、不是）为联合体一方，提供本企业（单位）制造的货物，由本企业（单位）承担工程、提供服务。本企业（单位）提供协议合同金额占到共同投标协议合同总金额的比例为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widowControl/>
        <w:spacing w:before="100" w:beforeAutospacing="1" w:after="100" w:afterAutospacing="1"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本企业（单位）对上述声明的真实性负责。如有虚假，将依法承担相应责任。</w:t>
      </w:r>
    </w:p>
    <w:p>
      <w:pPr>
        <w:widowControl/>
        <w:spacing w:before="100" w:beforeAutospacing="1" w:after="100" w:afterAutospacing="1" w:line="360" w:lineRule="auto"/>
        <w:jc w:val="left"/>
        <w:rPr>
          <w:rFonts w:ascii="仿宋" w:hAnsi="仿宋" w:eastAsia="仿宋" w:cs="仿宋"/>
          <w:b/>
          <w:color w:val="auto"/>
          <w:kern w:val="0"/>
          <w:sz w:val="24"/>
          <w:szCs w:val="20"/>
          <w:highlight w:val="none"/>
        </w:rPr>
      </w:pPr>
      <w:r>
        <w:rPr>
          <w:rFonts w:hint="eastAsia" w:ascii="仿宋" w:hAnsi="仿宋" w:eastAsia="仿宋" w:cs="仿宋"/>
          <w:color w:val="auto"/>
          <w:kern w:val="0"/>
          <w:sz w:val="24"/>
          <w:highlight w:val="none"/>
        </w:rPr>
        <w:t>　</w:t>
      </w:r>
      <w:r>
        <w:rPr>
          <w:rFonts w:hint="eastAsia" w:ascii="仿宋" w:hAnsi="仿宋" w:eastAsia="仿宋" w:cs="仿宋"/>
          <w:b/>
          <w:color w:val="auto"/>
          <w:kern w:val="0"/>
          <w:sz w:val="24"/>
          <w:szCs w:val="20"/>
          <w:highlight w:val="none"/>
        </w:rPr>
        <w:t>　</w:t>
      </w:r>
    </w:p>
    <w:p>
      <w:pPr>
        <w:widowControl/>
        <w:spacing w:before="100" w:beforeAutospacing="1" w:after="100" w:afterAutospacing="1" w:line="360" w:lineRule="auto"/>
        <w:ind w:firstLine="360" w:firstLineChars="15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单位名称（公章）：</w:t>
      </w:r>
      <w:r>
        <w:rPr>
          <w:rFonts w:hint="eastAsia" w:ascii="仿宋" w:hAnsi="仿宋" w:eastAsia="仿宋" w:cs="仿宋"/>
          <w:color w:val="auto"/>
          <w:kern w:val="0"/>
          <w:sz w:val="24"/>
          <w:highlight w:val="none"/>
          <w:u w:val="single"/>
        </w:rPr>
        <w:t xml:space="preserve">             </w:t>
      </w:r>
    </w:p>
    <w:p>
      <w:pPr>
        <w:widowControl/>
        <w:spacing w:before="100" w:beforeAutospacing="1" w:after="100" w:afterAutospacing="1" w:line="360" w:lineRule="auto"/>
        <w:ind w:firstLine="480" w:firstLineChars="200"/>
        <w:jc w:val="left"/>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日　期：</w:t>
      </w:r>
      <w:r>
        <w:rPr>
          <w:rFonts w:hint="eastAsia" w:ascii="仿宋" w:hAnsi="仿宋" w:eastAsia="仿宋" w:cs="仿宋"/>
          <w:color w:val="auto"/>
          <w:kern w:val="0"/>
          <w:sz w:val="24"/>
          <w:highlight w:val="none"/>
          <w:u w:val="single"/>
        </w:rPr>
        <w:t xml:space="preserve">             </w:t>
      </w:r>
    </w:p>
    <w:p>
      <w:pPr>
        <w:widowControl/>
        <w:spacing w:before="100" w:beforeAutospacing="1" w:after="100" w:afterAutospacing="1" w:line="360" w:lineRule="auto"/>
        <w:jc w:val="left"/>
        <w:rPr>
          <w:rFonts w:ascii="仿宋" w:hAnsi="仿宋" w:eastAsia="仿宋" w:cs="仿宋"/>
          <w:color w:val="auto"/>
          <w:kern w:val="0"/>
          <w:sz w:val="24"/>
          <w:highlight w:val="none"/>
          <w:u w:val="single"/>
        </w:rPr>
      </w:pPr>
    </w:p>
    <w:p>
      <w:pPr>
        <w:widowControl/>
        <w:spacing w:before="100" w:beforeAutospacing="1" w:after="100" w:afterAutospacing="1" w:line="360" w:lineRule="auto"/>
        <w:jc w:val="left"/>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rPr>
        <w:t>注：符合《关于政府采购支持监狱企业发展有关问题的通知》价格扣减条件的供应商须提交。需提供</w:t>
      </w:r>
      <w:r>
        <w:rPr>
          <w:rFonts w:hint="eastAsia" w:ascii="仿宋" w:hAnsi="仿宋" w:eastAsia="仿宋" w:cs="仿宋"/>
          <w:b/>
          <w:bCs/>
          <w:color w:val="auto"/>
          <w:sz w:val="24"/>
          <w:highlight w:val="none"/>
        </w:rPr>
        <w:t>省级以上监狱管理局、戒毒管理局（含新疆生产建设兵团）出具的属于监狱企业的证明文件。不符合的可以不提交。</w:t>
      </w:r>
    </w:p>
    <w:p>
      <w:pPr>
        <w:rPr>
          <w:rFonts w:ascii="仿宋" w:hAnsi="仿宋" w:eastAsia="仿宋" w:cs="仿宋"/>
          <w:color w:val="auto"/>
          <w:sz w:val="32"/>
          <w:szCs w:val="32"/>
          <w:highlight w:val="none"/>
        </w:rPr>
      </w:pPr>
    </w:p>
    <w:p>
      <w:pPr>
        <w:tabs>
          <w:tab w:val="left" w:pos="588"/>
        </w:tabs>
        <w:jc w:val="center"/>
        <w:rPr>
          <w:rFonts w:ascii="仿宋" w:hAnsi="仿宋" w:eastAsia="仿宋" w:cs="仿宋"/>
          <w:b/>
          <w:color w:val="auto"/>
          <w:sz w:val="32"/>
          <w:szCs w:val="32"/>
          <w:highlight w:val="none"/>
        </w:rPr>
      </w:pPr>
      <w:r>
        <w:rPr>
          <w:rFonts w:hint="eastAsia" w:ascii="仿宋" w:hAnsi="仿宋" w:eastAsia="仿宋" w:cs="仿宋"/>
          <w:color w:val="auto"/>
          <w:sz w:val="32"/>
          <w:szCs w:val="32"/>
          <w:highlight w:val="none"/>
        </w:rPr>
        <w:br w:type="page"/>
      </w:r>
      <w:r>
        <w:rPr>
          <w:rFonts w:hint="eastAsia" w:ascii="仿宋" w:hAnsi="仿宋" w:eastAsia="仿宋" w:cs="仿宋"/>
          <w:b/>
          <w:bCs/>
          <w:color w:val="auto"/>
          <w:sz w:val="28"/>
          <w:szCs w:val="36"/>
          <w:highlight w:val="none"/>
        </w:rPr>
        <w:t>三、残疾人福利性单位声明函</w:t>
      </w:r>
    </w:p>
    <w:p>
      <w:pPr>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中国残疾人联合会关于促进残疾人就业政府采购政策的通知》（财库〔2017〕141号）的规定，本单位为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（符合/不符合）条件的残疾人福利性单位，且本单位参加_</w:t>
      </w:r>
      <w:r>
        <w:rPr>
          <w:rFonts w:hint="eastAsia" w:ascii="仿宋" w:hAnsi="仿宋" w:eastAsia="仿宋" w:cs="仿宋"/>
          <w:color w:val="auto"/>
          <w:sz w:val="24"/>
          <w:highlight w:val="none"/>
          <w:u w:val="single"/>
          <w:lang w:eastAsia="zh-CN"/>
        </w:rPr>
        <w:t>西安浐灞生态区管理委员会</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lang w:eastAsia="zh-CN"/>
        </w:rPr>
        <w:t>西安浐灞生态区绿地生态城2期东区1#别墅、围墙及白龙池路安全性检测鉴定项目</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rPr>
          <w:rFonts w:ascii="仿宋" w:hAnsi="仿宋" w:eastAsia="仿宋" w:cs="仿宋"/>
          <w:color w:val="auto"/>
          <w:sz w:val="24"/>
          <w:highlight w:val="none"/>
        </w:rPr>
      </w:pPr>
    </w:p>
    <w:p>
      <w:pPr>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单位名称（公章）：</w:t>
      </w:r>
    </w:p>
    <w:p>
      <w:pPr>
        <w:rPr>
          <w:rFonts w:ascii="仿宋" w:hAnsi="仿宋" w:eastAsia="仿宋" w:cs="仿宋"/>
          <w:color w:val="auto"/>
          <w:sz w:val="24"/>
          <w:highlight w:val="none"/>
        </w:rPr>
      </w:pPr>
    </w:p>
    <w:p>
      <w:pPr>
        <w:pStyle w:val="27"/>
        <w:ind w:firstLine="3360" w:firstLineChars="1400"/>
        <w:rPr>
          <w:rFonts w:ascii="仿宋" w:hAnsi="仿宋" w:eastAsia="仿宋" w:cs="仿宋"/>
          <w:color w:val="auto"/>
          <w:highlight w:val="none"/>
        </w:rPr>
      </w:pPr>
      <w:r>
        <w:rPr>
          <w:rFonts w:hint="eastAsia" w:ascii="仿宋" w:hAnsi="仿宋" w:eastAsia="仿宋" w:cs="仿宋"/>
          <w:color w:val="auto"/>
          <w:highlight w:val="none"/>
        </w:rPr>
        <w:t>日  期：</w:t>
      </w:r>
    </w:p>
    <w:p>
      <w:pPr>
        <w:ind w:firstLine="4337" w:firstLineChars="1800"/>
        <w:rPr>
          <w:rFonts w:ascii="仿宋" w:hAnsi="仿宋" w:eastAsia="仿宋" w:cs="仿宋"/>
          <w:b/>
          <w:bCs/>
          <w:color w:val="auto"/>
          <w:kern w:val="0"/>
          <w:sz w:val="24"/>
          <w:szCs w:val="20"/>
          <w:highlight w:val="none"/>
        </w:rPr>
      </w:pPr>
    </w:p>
    <w:p>
      <w:pPr>
        <w:ind w:firstLine="4337" w:firstLineChars="1800"/>
        <w:rPr>
          <w:rFonts w:ascii="仿宋" w:hAnsi="仿宋" w:eastAsia="仿宋" w:cs="仿宋"/>
          <w:b/>
          <w:bCs/>
          <w:color w:val="auto"/>
          <w:kern w:val="0"/>
          <w:sz w:val="24"/>
          <w:szCs w:val="20"/>
          <w:highlight w:val="none"/>
        </w:rPr>
      </w:pPr>
    </w:p>
    <w:p>
      <w:pPr>
        <w:ind w:firstLine="4337" w:firstLineChars="1800"/>
        <w:rPr>
          <w:rFonts w:ascii="仿宋" w:hAnsi="仿宋" w:eastAsia="仿宋" w:cs="仿宋"/>
          <w:b/>
          <w:bCs/>
          <w:color w:val="auto"/>
          <w:kern w:val="0"/>
          <w:sz w:val="24"/>
          <w:szCs w:val="20"/>
          <w:highlight w:val="none"/>
        </w:rPr>
      </w:pPr>
    </w:p>
    <w:p>
      <w:pPr>
        <w:ind w:firstLine="4337" w:firstLineChars="1800"/>
        <w:rPr>
          <w:rFonts w:ascii="仿宋" w:hAnsi="仿宋" w:eastAsia="仿宋" w:cs="仿宋"/>
          <w:b/>
          <w:bCs/>
          <w:color w:val="auto"/>
          <w:kern w:val="0"/>
          <w:sz w:val="24"/>
          <w:szCs w:val="20"/>
          <w:highlight w:val="none"/>
        </w:rPr>
      </w:pPr>
    </w:p>
    <w:p>
      <w:pPr>
        <w:ind w:firstLine="4337" w:firstLineChars="1800"/>
        <w:rPr>
          <w:rFonts w:ascii="仿宋" w:hAnsi="仿宋" w:eastAsia="仿宋" w:cs="仿宋"/>
          <w:b/>
          <w:bCs/>
          <w:color w:val="auto"/>
          <w:kern w:val="0"/>
          <w:sz w:val="24"/>
          <w:szCs w:val="20"/>
          <w:highlight w:val="none"/>
        </w:rPr>
      </w:pPr>
    </w:p>
    <w:p>
      <w:pPr>
        <w:ind w:firstLine="4337" w:firstLineChars="1800"/>
        <w:rPr>
          <w:rFonts w:ascii="仿宋" w:hAnsi="仿宋" w:eastAsia="仿宋" w:cs="仿宋"/>
          <w:b/>
          <w:bCs/>
          <w:color w:val="auto"/>
          <w:kern w:val="0"/>
          <w:sz w:val="24"/>
          <w:szCs w:val="20"/>
          <w:highlight w:val="none"/>
        </w:rPr>
      </w:pPr>
    </w:p>
    <w:p>
      <w:pPr>
        <w:ind w:firstLine="4337" w:firstLineChars="1800"/>
        <w:rPr>
          <w:rFonts w:ascii="仿宋" w:hAnsi="仿宋" w:eastAsia="仿宋" w:cs="仿宋"/>
          <w:b/>
          <w:bCs/>
          <w:color w:val="auto"/>
          <w:kern w:val="0"/>
          <w:sz w:val="24"/>
          <w:szCs w:val="20"/>
          <w:highlight w:val="none"/>
        </w:rPr>
      </w:pPr>
    </w:p>
    <w:p>
      <w:pPr>
        <w:ind w:firstLine="4337" w:firstLineChars="1800"/>
        <w:rPr>
          <w:rFonts w:ascii="仿宋" w:hAnsi="仿宋" w:eastAsia="仿宋" w:cs="仿宋"/>
          <w:b/>
          <w:bCs/>
          <w:color w:val="auto"/>
          <w:kern w:val="0"/>
          <w:sz w:val="24"/>
          <w:szCs w:val="20"/>
          <w:highlight w:val="none"/>
        </w:rPr>
      </w:pPr>
    </w:p>
    <w:p>
      <w:pPr>
        <w:ind w:firstLine="4337" w:firstLineChars="1800"/>
        <w:rPr>
          <w:rFonts w:ascii="仿宋" w:hAnsi="仿宋" w:eastAsia="仿宋" w:cs="仿宋"/>
          <w:b/>
          <w:bCs/>
          <w:color w:val="auto"/>
          <w:kern w:val="0"/>
          <w:sz w:val="24"/>
          <w:szCs w:val="20"/>
          <w:highlight w:val="none"/>
        </w:rPr>
      </w:pPr>
    </w:p>
    <w:p>
      <w:pPr>
        <w:ind w:firstLine="4337" w:firstLineChars="1800"/>
        <w:rPr>
          <w:rFonts w:ascii="仿宋" w:hAnsi="仿宋" w:eastAsia="仿宋" w:cs="仿宋"/>
          <w:b/>
          <w:bCs/>
          <w:color w:val="auto"/>
          <w:kern w:val="0"/>
          <w:sz w:val="24"/>
          <w:szCs w:val="20"/>
          <w:highlight w:val="none"/>
        </w:rPr>
      </w:pPr>
    </w:p>
    <w:p>
      <w:pPr>
        <w:rPr>
          <w:rFonts w:ascii="仿宋" w:hAnsi="仿宋" w:eastAsia="仿宋" w:cs="仿宋"/>
          <w:color w:val="auto"/>
          <w:highlight w:val="none"/>
        </w:rPr>
      </w:pPr>
      <w:r>
        <w:rPr>
          <w:rFonts w:hint="eastAsia" w:ascii="仿宋" w:hAnsi="仿宋" w:eastAsia="仿宋" w:cs="仿宋"/>
          <w:b/>
          <w:bCs/>
          <w:color w:val="auto"/>
          <w:kern w:val="0"/>
          <w:sz w:val="24"/>
          <w:szCs w:val="20"/>
          <w:highlight w:val="none"/>
        </w:rPr>
        <w:t>注：符合《三部门联合发布关于促进残疾人就业政府采购政策的通知》条件的供应商须提交，不符合的可以不提交。</w:t>
      </w:r>
      <w:r>
        <w:rPr>
          <w:rFonts w:hint="eastAsia" w:ascii="仿宋" w:hAnsi="仿宋" w:eastAsia="仿宋" w:cs="仿宋"/>
          <w:color w:val="auto"/>
          <w:highlight w:val="none"/>
        </w:rPr>
        <w:br w:type="page"/>
      </w:r>
    </w:p>
    <w:p>
      <w:pPr>
        <w:rPr>
          <w:rFonts w:ascii="仿宋" w:hAnsi="仿宋" w:eastAsia="仿宋" w:cs="仿宋"/>
          <w:color w:val="auto"/>
          <w:highlight w:val="none"/>
        </w:rPr>
      </w:pPr>
    </w:p>
    <w:p>
      <w:pPr>
        <w:spacing w:after="120"/>
        <w:rPr>
          <w:rFonts w:ascii="仿宋" w:hAnsi="仿宋" w:eastAsia="仿宋" w:cs="仿宋"/>
          <w:color w:val="auto"/>
          <w:highlight w:val="none"/>
        </w:rPr>
      </w:pPr>
    </w:p>
    <w:p>
      <w:pPr>
        <w:pStyle w:val="196"/>
        <w:ind w:firstLine="6927" w:firstLineChars="2300"/>
        <w:rPr>
          <w:rFonts w:ascii="仿宋" w:hAnsi="仿宋" w:eastAsia="仿宋" w:cs="仿宋"/>
          <w:b/>
          <w:color w:val="auto"/>
          <w:sz w:val="30"/>
          <w:szCs w:val="30"/>
          <w:highlight w:val="none"/>
          <w:lang w:val="zh-CN"/>
        </w:rPr>
      </w:pPr>
      <w:r>
        <w:rPr>
          <w:rFonts w:hint="eastAsia" w:ascii="仿宋" w:hAnsi="仿宋" w:eastAsia="仿宋" w:cs="仿宋"/>
          <w:b/>
          <w:color w:val="auto"/>
          <w:sz w:val="30"/>
          <w:szCs w:val="30"/>
          <w:highlight w:val="none"/>
          <w:lang w:val="zh-CN"/>
        </w:rPr>
        <w:t>正本/副本</w:t>
      </w:r>
    </w:p>
    <w:p>
      <w:pPr>
        <w:pStyle w:val="196"/>
        <w:ind w:firstLine="6927" w:firstLineChars="2300"/>
        <w:rPr>
          <w:rFonts w:ascii="仿宋" w:hAnsi="仿宋" w:eastAsia="仿宋" w:cs="仿宋"/>
          <w:b/>
          <w:color w:val="auto"/>
          <w:sz w:val="30"/>
          <w:szCs w:val="30"/>
          <w:highlight w:val="none"/>
          <w:lang w:val="zh-CN"/>
        </w:rPr>
      </w:pPr>
    </w:p>
    <w:p>
      <w:pPr>
        <w:autoSpaceDE w:val="0"/>
        <w:autoSpaceDN w:val="0"/>
        <w:adjustRightInd w:val="0"/>
        <w:snapToGrid w:val="0"/>
        <w:spacing w:line="360" w:lineRule="auto"/>
        <w:jc w:val="left"/>
        <w:rPr>
          <w:rFonts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政府采购项目</w:t>
      </w:r>
    </w:p>
    <w:p>
      <w:pPr>
        <w:autoSpaceDE w:val="0"/>
        <w:autoSpaceDN w:val="0"/>
        <w:adjustRightInd w:val="0"/>
        <w:snapToGrid w:val="0"/>
        <w:spacing w:line="360" w:lineRule="auto"/>
        <w:jc w:val="left"/>
        <w:rPr>
          <w:rFonts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采购项目编号：SCZC2023-CS-1763-001</w:t>
      </w:r>
    </w:p>
    <w:p>
      <w:pPr>
        <w:tabs>
          <w:tab w:val="left" w:pos="5670"/>
        </w:tabs>
        <w:autoSpaceDE w:val="0"/>
        <w:autoSpaceDN w:val="0"/>
        <w:adjustRightInd w:val="0"/>
        <w:snapToGrid w:val="0"/>
        <w:spacing w:line="360" w:lineRule="auto"/>
        <w:jc w:val="center"/>
        <w:rPr>
          <w:rFonts w:ascii="仿宋" w:hAnsi="仿宋" w:eastAsia="仿宋" w:cs="仿宋"/>
          <w:color w:val="auto"/>
          <w:sz w:val="19"/>
          <w:szCs w:val="19"/>
          <w:highlight w:val="none"/>
        </w:rPr>
      </w:pPr>
    </w:p>
    <w:p>
      <w:pPr>
        <w:tabs>
          <w:tab w:val="left" w:pos="5670"/>
        </w:tabs>
        <w:autoSpaceDE w:val="0"/>
        <w:autoSpaceDN w:val="0"/>
        <w:adjustRightInd w:val="0"/>
        <w:snapToGrid w:val="0"/>
        <w:spacing w:line="360" w:lineRule="auto"/>
        <w:jc w:val="center"/>
        <w:rPr>
          <w:rFonts w:ascii="仿宋" w:hAnsi="仿宋" w:eastAsia="仿宋" w:cs="仿宋"/>
          <w:color w:val="auto"/>
          <w:sz w:val="19"/>
          <w:szCs w:val="19"/>
          <w:highlight w:val="none"/>
        </w:rPr>
      </w:pPr>
    </w:p>
    <w:p>
      <w:pPr>
        <w:tabs>
          <w:tab w:val="left" w:pos="5670"/>
        </w:tabs>
        <w:autoSpaceDE w:val="0"/>
        <w:autoSpaceDN w:val="0"/>
        <w:adjustRightInd w:val="0"/>
        <w:snapToGrid w:val="0"/>
        <w:spacing w:line="360" w:lineRule="auto"/>
        <w:jc w:val="center"/>
        <w:rPr>
          <w:rFonts w:ascii="仿宋" w:hAnsi="仿宋" w:eastAsia="仿宋" w:cs="仿宋"/>
          <w:color w:val="auto"/>
          <w:sz w:val="19"/>
          <w:szCs w:val="19"/>
          <w:highlight w:val="none"/>
        </w:rPr>
      </w:pPr>
    </w:p>
    <w:p>
      <w:pPr>
        <w:autoSpaceDE w:val="0"/>
        <w:autoSpaceDN w:val="0"/>
        <w:adjustRightInd w:val="0"/>
        <w:snapToGrid w:val="0"/>
        <w:spacing w:line="360" w:lineRule="auto"/>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西安浐灞生态区绿地生态城2期东区1#别墅、围墙及白龙池路安全性检测鉴定项目</w:t>
      </w:r>
    </w:p>
    <w:p>
      <w:pPr>
        <w:tabs>
          <w:tab w:val="left" w:pos="5670"/>
        </w:tabs>
        <w:autoSpaceDE w:val="0"/>
        <w:autoSpaceDN w:val="0"/>
        <w:adjustRightInd w:val="0"/>
        <w:snapToGrid w:val="0"/>
        <w:spacing w:line="360" w:lineRule="auto"/>
        <w:jc w:val="center"/>
        <w:rPr>
          <w:rFonts w:ascii="仿宋" w:hAnsi="仿宋" w:eastAsia="仿宋" w:cs="仿宋"/>
          <w:b/>
          <w:bCs/>
          <w:color w:val="auto"/>
          <w:sz w:val="52"/>
          <w:szCs w:val="52"/>
          <w:highlight w:val="none"/>
          <w:lang w:val="zh-CN"/>
        </w:rPr>
      </w:pPr>
    </w:p>
    <w:p>
      <w:pPr>
        <w:tabs>
          <w:tab w:val="left" w:pos="5670"/>
        </w:tabs>
        <w:autoSpaceDE w:val="0"/>
        <w:autoSpaceDN w:val="0"/>
        <w:adjustRightInd w:val="0"/>
        <w:snapToGrid w:val="0"/>
        <w:spacing w:line="360" w:lineRule="auto"/>
        <w:jc w:val="center"/>
        <w:rPr>
          <w:rFonts w:ascii="仿宋" w:hAnsi="仿宋" w:eastAsia="仿宋" w:cs="仿宋"/>
          <w:b/>
          <w:bCs/>
          <w:color w:val="auto"/>
          <w:sz w:val="52"/>
          <w:szCs w:val="52"/>
          <w:highlight w:val="none"/>
          <w:lang w:val="zh-CN"/>
        </w:rPr>
      </w:pPr>
      <w:r>
        <w:rPr>
          <w:rFonts w:hint="eastAsia" w:ascii="仿宋" w:hAnsi="仿宋" w:eastAsia="仿宋" w:cs="仿宋"/>
          <w:b/>
          <w:bCs/>
          <w:color w:val="auto"/>
          <w:sz w:val="52"/>
          <w:szCs w:val="52"/>
          <w:highlight w:val="none"/>
          <w:lang w:val="zh-CN"/>
        </w:rPr>
        <w:t>磋商响应文件</w:t>
      </w:r>
    </w:p>
    <w:p>
      <w:pPr>
        <w:autoSpaceDE w:val="0"/>
        <w:autoSpaceDN w:val="0"/>
        <w:adjustRightInd w:val="0"/>
        <w:snapToGrid w:val="0"/>
        <w:spacing w:line="360" w:lineRule="auto"/>
        <w:rPr>
          <w:rFonts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 xml:space="preserve">                    （</w:t>
      </w:r>
      <w:r>
        <w:rPr>
          <w:rStyle w:val="98"/>
          <w:rFonts w:hint="eastAsia" w:ascii="仿宋" w:hAnsi="仿宋" w:eastAsia="仿宋" w:cs="仿宋"/>
          <w:color w:val="auto"/>
          <w:highlight w:val="none"/>
        </w:rPr>
        <w:t>商务及技术文件</w:t>
      </w:r>
      <w:r>
        <w:rPr>
          <w:rFonts w:hint="eastAsia" w:ascii="仿宋" w:hAnsi="仿宋" w:eastAsia="仿宋" w:cs="仿宋"/>
          <w:b/>
          <w:bCs/>
          <w:color w:val="auto"/>
          <w:sz w:val="32"/>
          <w:szCs w:val="32"/>
          <w:highlight w:val="none"/>
          <w:lang w:val="zh-CN"/>
        </w:rPr>
        <w:t>）</w:t>
      </w:r>
    </w:p>
    <w:p>
      <w:pPr>
        <w:autoSpaceDE w:val="0"/>
        <w:autoSpaceDN w:val="0"/>
        <w:adjustRightInd w:val="0"/>
        <w:snapToGrid w:val="0"/>
        <w:spacing w:line="360" w:lineRule="auto"/>
        <w:rPr>
          <w:rFonts w:ascii="仿宋" w:hAnsi="仿宋" w:eastAsia="仿宋" w:cs="仿宋"/>
          <w:b/>
          <w:bCs/>
          <w:color w:val="auto"/>
          <w:sz w:val="32"/>
          <w:szCs w:val="32"/>
          <w:highlight w:val="none"/>
          <w:lang w:val="zh-CN"/>
        </w:rPr>
      </w:pPr>
    </w:p>
    <w:p>
      <w:pPr>
        <w:autoSpaceDE w:val="0"/>
        <w:autoSpaceDN w:val="0"/>
        <w:adjustRightInd w:val="0"/>
        <w:snapToGrid w:val="0"/>
        <w:spacing w:line="360" w:lineRule="auto"/>
        <w:rPr>
          <w:rFonts w:ascii="仿宋" w:hAnsi="仿宋" w:eastAsia="仿宋" w:cs="仿宋"/>
          <w:b/>
          <w:bCs/>
          <w:color w:val="auto"/>
          <w:sz w:val="32"/>
          <w:szCs w:val="32"/>
          <w:highlight w:val="none"/>
          <w:lang w:val="zh-CN"/>
        </w:rPr>
      </w:pPr>
    </w:p>
    <w:p>
      <w:pPr>
        <w:autoSpaceDE w:val="0"/>
        <w:autoSpaceDN w:val="0"/>
        <w:adjustRightInd w:val="0"/>
        <w:snapToGrid w:val="0"/>
        <w:spacing w:line="360" w:lineRule="auto"/>
        <w:rPr>
          <w:rFonts w:ascii="仿宋" w:hAnsi="仿宋" w:eastAsia="仿宋" w:cs="仿宋"/>
          <w:color w:val="auto"/>
          <w:sz w:val="30"/>
          <w:szCs w:val="30"/>
          <w:highlight w:val="none"/>
        </w:rPr>
      </w:pPr>
    </w:p>
    <w:p>
      <w:pPr>
        <w:autoSpaceDE w:val="0"/>
        <w:autoSpaceDN w:val="0"/>
        <w:adjustRightInd w:val="0"/>
        <w:snapToGrid w:val="0"/>
        <w:spacing w:line="360" w:lineRule="auto"/>
        <w:rPr>
          <w:rFonts w:ascii="仿宋" w:hAnsi="仿宋" w:eastAsia="仿宋" w:cs="仿宋"/>
          <w:b/>
          <w:bCs/>
          <w:color w:val="auto"/>
          <w:sz w:val="32"/>
          <w:szCs w:val="32"/>
          <w:highlight w:val="none"/>
          <w:u w:val="single"/>
        </w:rPr>
      </w:pPr>
      <w:r>
        <w:rPr>
          <w:rFonts w:hint="eastAsia" w:ascii="仿宋" w:hAnsi="仿宋" w:eastAsia="仿宋" w:cs="仿宋"/>
          <w:color w:val="auto"/>
          <w:sz w:val="30"/>
          <w:szCs w:val="30"/>
          <w:highlight w:val="none"/>
        </w:rPr>
        <w:t xml:space="preserve">      </w:t>
      </w:r>
      <w:r>
        <w:rPr>
          <w:rFonts w:hint="eastAsia" w:ascii="仿宋" w:hAnsi="仿宋" w:eastAsia="仿宋" w:cs="仿宋"/>
          <w:b/>
          <w:bCs/>
          <w:color w:val="auto"/>
          <w:sz w:val="32"/>
          <w:szCs w:val="32"/>
          <w:highlight w:val="none"/>
          <w:lang w:val="zh-CN"/>
        </w:rPr>
        <w:t>供应商：</w:t>
      </w:r>
      <w:r>
        <w:rPr>
          <w:rFonts w:hint="eastAsia" w:ascii="仿宋" w:hAnsi="仿宋" w:eastAsia="仿宋" w:cs="仿宋"/>
          <w:b/>
          <w:bCs/>
          <w:color w:val="auto"/>
          <w:sz w:val="32"/>
          <w:szCs w:val="32"/>
          <w:highlight w:val="none"/>
          <w:u w:val="single"/>
        </w:rPr>
        <w:t xml:space="preserve">                   </w:t>
      </w:r>
    </w:p>
    <w:p>
      <w:pPr>
        <w:autoSpaceDE w:val="0"/>
        <w:autoSpaceDN w:val="0"/>
        <w:adjustRightInd w:val="0"/>
        <w:snapToGrid w:val="0"/>
        <w:spacing w:line="360" w:lineRule="auto"/>
        <w:rPr>
          <w:rFonts w:ascii="仿宋" w:hAnsi="仿宋" w:eastAsia="仿宋" w:cs="仿宋"/>
          <w:b/>
          <w:bCs/>
          <w:color w:val="auto"/>
          <w:sz w:val="32"/>
          <w:szCs w:val="32"/>
          <w:highlight w:val="none"/>
        </w:rPr>
      </w:pPr>
    </w:p>
    <w:p>
      <w:pPr>
        <w:autoSpaceDE w:val="0"/>
        <w:autoSpaceDN w:val="0"/>
        <w:adjustRightInd w:val="0"/>
        <w:snapToGrid w:val="0"/>
        <w:spacing w:line="360" w:lineRule="auto"/>
        <w:ind w:firstLine="964" w:firstLineChars="300"/>
        <w:rPr>
          <w:rFonts w:ascii="仿宋" w:hAnsi="仿宋" w:eastAsia="仿宋" w:cs="仿宋"/>
          <w:b/>
          <w:bCs/>
          <w:color w:val="auto"/>
          <w:sz w:val="32"/>
          <w:szCs w:val="32"/>
          <w:highlight w:val="none"/>
          <w:u w:val="single"/>
        </w:rPr>
      </w:pPr>
      <w:r>
        <w:rPr>
          <w:rFonts w:hint="eastAsia" w:ascii="仿宋" w:hAnsi="仿宋" w:eastAsia="仿宋" w:cs="仿宋"/>
          <w:b/>
          <w:bCs/>
          <w:color w:val="auto"/>
          <w:sz w:val="32"/>
          <w:szCs w:val="32"/>
          <w:highlight w:val="none"/>
          <w:lang w:val="zh-CN"/>
        </w:rPr>
        <w:t>时</w:t>
      </w:r>
      <w:r>
        <w:rPr>
          <w:rFonts w:hint="eastAsia" w:ascii="仿宋" w:hAnsi="仿宋" w:eastAsia="仿宋" w:cs="仿宋"/>
          <w:b/>
          <w:bCs/>
          <w:color w:val="auto"/>
          <w:sz w:val="32"/>
          <w:szCs w:val="32"/>
          <w:highlight w:val="none"/>
        </w:rPr>
        <w:t xml:space="preserve">  </w:t>
      </w:r>
      <w:r>
        <w:rPr>
          <w:rFonts w:hint="eastAsia" w:ascii="仿宋" w:hAnsi="仿宋" w:eastAsia="仿宋" w:cs="仿宋"/>
          <w:b/>
          <w:bCs/>
          <w:color w:val="auto"/>
          <w:sz w:val="32"/>
          <w:szCs w:val="32"/>
          <w:highlight w:val="none"/>
          <w:lang w:val="zh-CN"/>
        </w:rPr>
        <w:t>间：</w:t>
      </w:r>
      <w:r>
        <w:rPr>
          <w:rFonts w:hint="eastAsia" w:ascii="仿宋" w:hAnsi="仿宋" w:eastAsia="仿宋" w:cs="仿宋"/>
          <w:b/>
          <w:bCs/>
          <w:color w:val="auto"/>
          <w:sz w:val="32"/>
          <w:szCs w:val="32"/>
          <w:highlight w:val="none"/>
          <w:u w:val="single"/>
        </w:rPr>
        <w:t xml:space="preserve">  </w:t>
      </w:r>
    </w:p>
    <w:p>
      <w:pPr>
        <w:pStyle w:val="25"/>
        <w:rPr>
          <w:rFonts w:ascii="仿宋" w:hAnsi="仿宋" w:eastAsia="仿宋" w:cs="仿宋"/>
          <w:color w:val="auto"/>
          <w:highlight w:val="none"/>
        </w:rPr>
      </w:pPr>
      <w:r>
        <w:rPr>
          <w:rFonts w:hint="eastAsia" w:ascii="仿宋" w:hAnsi="仿宋" w:eastAsia="仿宋" w:cs="仿宋"/>
          <w:color w:val="auto"/>
          <w:highlight w:val="none"/>
        </w:rPr>
        <w:br w:type="page"/>
      </w:r>
    </w:p>
    <w:p>
      <w:pPr>
        <w:autoSpaceDE w:val="0"/>
        <w:autoSpaceDN w:val="0"/>
        <w:adjustRightInd w:val="0"/>
        <w:snapToGrid w:val="0"/>
        <w:spacing w:line="360" w:lineRule="auto"/>
        <w:ind w:firstLine="964" w:firstLineChars="300"/>
        <w:rPr>
          <w:rFonts w:ascii="仿宋" w:hAnsi="仿宋" w:eastAsia="仿宋" w:cs="仿宋"/>
          <w:b/>
          <w:bCs/>
          <w:color w:val="auto"/>
          <w:sz w:val="32"/>
          <w:szCs w:val="32"/>
          <w:highlight w:val="none"/>
          <w:u w:val="single"/>
        </w:rPr>
      </w:pPr>
    </w:p>
    <w:p>
      <w:pPr>
        <w:pStyle w:val="5"/>
        <w:jc w:val="center"/>
        <w:rPr>
          <w:rFonts w:ascii="仿宋" w:hAnsi="仿宋" w:eastAsia="仿宋" w:cs="仿宋"/>
          <w:b/>
          <w:bCs/>
          <w:color w:val="auto"/>
          <w:highlight w:val="none"/>
          <w:lang w:val="zh-CN"/>
        </w:rPr>
      </w:pPr>
      <w:bookmarkStart w:id="490" w:name="_Toc4733"/>
      <w:r>
        <w:rPr>
          <w:rFonts w:hint="eastAsia" w:ascii="仿宋" w:hAnsi="仿宋" w:eastAsia="仿宋" w:cs="仿宋"/>
          <w:b/>
          <w:bCs/>
          <w:color w:val="auto"/>
          <w:highlight w:val="none"/>
          <w:lang w:val="zh-CN"/>
        </w:rPr>
        <w:t>目  录</w:t>
      </w:r>
      <w:bookmarkEnd w:id="490"/>
    </w:p>
    <w:p>
      <w:pPr>
        <w:spacing w:after="120"/>
        <w:ind w:firstLine="315" w:firstLineChars="150"/>
        <w:rPr>
          <w:rFonts w:ascii="仿宋" w:hAnsi="仿宋" w:eastAsia="仿宋" w:cs="仿宋"/>
          <w:color w:val="auto"/>
          <w:highlight w:val="none"/>
        </w:rPr>
      </w:pPr>
    </w:p>
    <w:p>
      <w:pPr>
        <w:spacing w:after="120" w:line="48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第一部分  磋商响应函</w:t>
      </w:r>
    </w:p>
    <w:p>
      <w:pPr>
        <w:spacing w:after="120" w:line="48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 xml:space="preserve">第二部分  磋商响应报价表 </w:t>
      </w:r>
    </w:p>
    <w:p>
      <w:pPr>
        <w:spacing w:after="120" w:line="48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第三部分  偏离表</w:t>
      </w:r>
    </w:p>
    <w:p>
      <w:pPr>
        <w:spacing w:after="120" w:line="48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第四部分  响应方案说明</w:t>
      </w:r>
    </w:p>
    <w:p>
      <w:pPr>
        <w:spacing w:after="120" w:line="48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第五部分  响应承诺书</w:t>
      </w:r>
    </w:p>
    <w:p>
      <w:pPr>
        <w:pStyle w:val="25"/>
        <w:ind w:firstLine="480"/>
        <w:rPr>
          <w:rFonts w:ascii="仿宋" w:hAnsi="仿宋" w:eastAsia="仿宋" w:cs="仿宋"/>
          <w:color w:val="auto"/>
          <w:sz w:val="24"/>
          <w:highlight w:val="none"/>
        </w:rPr>
      </w:pPr>
    </w:p>
    <w:p>
      <w:pPr>
        <w:widowControl/>
        <w:jc w:val="left"/>
        <w:rPr>
          <w:rFonts w:ascii="仿宋" w:hAnsi="仿宋" w:eastAsia="仿宋" w:cs="仿宋"/>
          <w:color w:val="auto"/>
          <w:highlight w:val="none"/>
        </w:rPr>
      </w:pPr>
      <w:r>
        <w:rPr>
          <w:rFonts w:hint="eastAsia" w:ascii="仿宋" w:hAnsi="仿宋" w:eastAsia="仿宋" w:cs="仿宋"/>
          <w:color w:val="auto"/>
          <w:highlight w:val="none"/>
        </w:rPr>
        <w:br w:type="page"/>
      </w:r>
    </w:p>
    <w:p>
      <w:pPr>
        <w:pStyle w:val="5"/>
        <w:jc w:val="center"/>
        <w:rPr>
          <w:rFonts w:ascii="仿宋" w:hAnsi="仿宋" w:eastAsia="仿宋" w:cs="仿宋"/>
          <w:b/>
          <w:bCs/>
          <w:color w:val="auto"/>
          <w:highlight w:val="none"/>
        </w:rPr>
      </w:pPr>
      <w:bookmarkStart w:id="491" w:name="_Toc12447"/>
      <w:r>
        <w:rPr>
          <w:rFonts w:hint="eastAsia" w:ascii="仿宋" w:hAnsi="仿宋" w:eastAsia="仿宋" w:cs="仿宋"/>
          <w:b/>
          <w:bCs/>
          <w:color w:val="auto"/>
          <w:highlight w:val="none"/>
          <w:lang w:val="zh-CN"/>
        </w:rPr>
        <w:t>第一部分</w:t>
      </w:r>
      <w:r>
        <w:rPr>
          <w:rFonts w:hint="eastAsia" w:ascii="仿宋" w:hAnsi="仿宋" w:eastAsia="仿宋" w:cs="仿宋"/>
          <w:b/>
          <w:bCs/>
          <w:color w:val="auto"/>
          <w:highlight w:val="none"/>
        </w:rPr>
        <w:t xml:space="preserve">  </w:t>
      </w:r>
      <w:r>
        <w:rPr>
          <w:rFonts w:hint="eastAsia" w:ascii="仿宋" w:hAnsi="仿宋" w:eastAsia="仿宋" w:cs="仿宋"/>
          <w:b/>
          <w:bCs/>
          <w:color w:val="auto"/>
          <w:highlight w:val="none"/>
          <w:lang w:val="zh-CN"/>
        </w:rPr>
        <w:t>磋商响应函</w:t>
      </w:r>
      <w:bookmarkEnd w:id="491"/>
    </w:p>
    <w:p>
      <w:pPr>
        <w:autoSpaceDE w:val="0"/>
        <w:autoSpaceDN w:val="0"/>
        <w:adjustRightInd w:val="0"/>
        <w:snapToGrid w:val="0"/>
        <w:spacing w:line="312" w:lineRule="auto"/>
        <w:rPr>
          <w:rFonts w:ascii="仿宋" w:hAnsi="仿宋" w:eastAsia="仿宋" w:cs="仿宋"/>
          <w:b/>
          <w:bCs/>
          <w:color w:val="auto"/>
          <w:sz w:val="24"/>
          <w:highlight w:val="none"/>
          <w:lang w:val="zh-CN"/>
        </w:rPr>
      </w:pPr>
    </w:p>
    <w:p>
      <w:pPr>
        <w:autoSpaceDE w:val="0"/>
        <w:autoSpaceDN w:val="0"/>
        <w:adjustRightInd w:val="0"/>
        <w:snapToGrid w:val="0"/>
        <w:spacing w:line="312"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lang w:val="zh-CN"/>
        </w:rPr>
        <w:t>陕西省采购招标有限责任公司：</w:t>
      </w:r>
    </w:p>
    <w:p>
      <w:pPr>
        <w:autoSpaceDE w:val="0"/>
        <w:autoSpaceDN w:val="0"/>
        <w:adjustRightInd w:val="0"/>
        <w:snapToGrid w:val="0"/>
        <w:spacing w:line="312" w:lineRule="auto"/>
        <w:ind w:firstLine="630"/>
        <w:rPr>
          <w:rFonts w:ascii="仿宋" w:hAnsi="仿宋" w:eastAsia="仿宋" w:cs="仿宋"/>
          <w:color w:val="auto"/>
          <w:sz w:val="24"/>
          <w:highlight w:val="none"/>
        </w:rPr>
      </w:pPr>
      <w:r>
        <w:rPr>
          <w:rFonts w:hint="eastAsia" w:ascii="仿宋" w:hAnsi="仿宋" w:eastAsia="仿宋" w:cs="仿宋"/>
          <w:color w:val="auto"/>
          <w:sz w:val="24"/>
          <w:highlight w:val="none"/>
          <w:lang w:val="zh-CN"/>
        </w:rPr>
        <w:t>我单位收到贵公司</w:t>
      </w:r>
      <w:r>
        <w:rPr>
          <w:rFonts w:hint="eastAsia" w:ascii="仿宋" w:hAnsi="仿宋" w:eastAsia="仿宋" w:cs="仿宋"/>
          <w:color w:val="auto"/>
          <w:sz w:val="24"/>
          <w:highlight w:val="none"/>
          <w:u w:val="single"/>
          <w:lang w:val="zh-CN"/>
        </w:rPr>
        <w:t>西安浐灞生态区绿地生态城2期东区1#别墅、围墙及白龙池路安全性检测鉴定项目（项目编号：SCZC2023-CS-1763-001）</w:t>
      </w:r>
      <w:r>
        <w:rPr>
          <w:rFonts w:hint="eastAsia" w:ascii="仿宋" w:hAnsi="仿宋" w:eastAsia="仿宋" w:cs="仿宋"/>
          <w:color w:val="auto"/>
          <w:sz w:val="24"/>
          <w:highlight w:val="none"/>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ascii="仿宋" w:hAnsi="仿宋" w:eastAsia="仿宋" w:cs="仿宋"/>
          <w:color w:val="auto"/>
          <w:sz w:val="24"/>
          <w:highlight w:val="none"/>
        </w:rPr>
      </w:pPr>
      <w:r>
        <w:rPr>
          <w:rFonts w:hint="eastAsia" w:ascii="仿宋" w:hAnsi="仿宋" w:eastAsia="仿宋" w:cs="仿宋"/>
          <w:color w:val="auto"/>
          <w:sz w:val="24"/>
          <w:highlight w:val="none"/>
        </w:rPr>
        <w:t>一</w:t>
      </w:r>
      <w:r>
        <w:rPr>
          <w:rFonts w:hint="eastAsia" w:ascii="仿宋" w:hAnsi="仿宋" w:eastAsia="仿宋" w:cs="仿宋"/>
          <w:color w:val="auto"/>
          <w:sz w:val="24"/>
          <w:highlight w:val="none"/>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ascii="仿宋" w:hAnsi="仿宋" w:eastAsia="仿宋" w:cs="仿宋"/>
          <w:color w:val="auto"/>
          <w:sz w:val="24"/>
          <w:highlight w:val="none"/>
        </w:rPr>
      </w:pP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zh-CN"/>
        </w:rPr>
        <w:t>、按竞争性磋商文件的规定，我公司的首次磋商响应报价为人民币</w:t>
      </w:r>
      <w:r>
        <w:rPr>
          <w:rFonts w:hint="eastAsia" w:ascii="仿宋" w:hAnsi="仿宋" w:eastAsia="仿宋" w:cs="仿宋"/>
          <w:color w:val="auto"/>
          <w:sz w:val="24"/>
          <w:highlight w:val="none"/>
          <w:u w:val="single"/>
          <w:lang w:val="zh-CN"/>
        </w:rPr>
        <w:t>（大写）：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zh-CN"/>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zh-CN"/>
        </w:rPr>
        <w:t>元），</w:t>
      </w:r>
      <w:r>
        <w:rPr>
          <w:rFonts w:hint="eastAsia" w:ascii="仿宋" w:hAnsi="仿宋" w:eastAsia="仿宋" w:cs="仿宋"/>
          <w:color w:val="auto"/>
          <w:sz w:val="24"/>
          <w:highlight w:val="none"/>
          <w:lang w:val="zh-CN"/>
        </w:rPr>
        <w:t>并对其后的磋商报价负法律责任。</w:t>
      </w:r>
    </w:p>
    <w:p>
      <w:pPr>
        <w:autoSpaceDE w:val="0"/>
        <w:autoSpaceDN w:val="0"/>
        <w:adjustRightInd w:val="0"/>
        <w:snapToGrid w:val="0"/>
        <w:spacing w:line="312" w:lineRule="auto"/>
        <w:ind w:firstLine="630"/>
        <w:rPr>
          <w:rFonts w:ascii="仿宋" w:hAnsi="仿宋" w:eastAsia="仿宋" w:cs="仿宋"/>
          <w:color w:val="auto"/>
          <w:sz w:val="24"/>
          <w:highlight w:val="none"/>
        </w:rPr>
      </w:pPr>
      <w:r>
        <w:rPr>
          <w:rFonts w:hint="eastAsia" w:ascii="仿宋" w:hAnsi="仿宋" w:eastAsia="仿宋" w:cs="仿宋"/>
          <w:color w:val="auto"/>
          <w:sz w:val="24"/>
          <w:highlight w:val="none"/>
        </w:rPr>
        <w:t>三</w:t>
      </w:r>
      <w:r>
        <w:rPr>
          <w:rFonts w:hint="eastAsia" w:ascii="仿宋" w:hAnsi="仿宋" w:eastAsia="仿宋" w:cs="仿宋"/>
          <w:color w:val="auto"/>
          <w:sz w:val="24"/>
          <w:highlight w:val="none"/>
          <w:lang w:val="zh-CN"/>
        </w:rPr>
        <w:t>、我方提交的响应文件正本一份、副本</w:t>
      </w:r>
      <w:r>
        <w:rPr>
          <w:rFonts w:hint="eastAsia" w:ascii="仿宋" w:hAnsi="仿宋" w:eastAsia="仿宋" w:cs="仿宋"/>
          <w:color w:val="auto"/>
          <w:sz w:val="24"/>
          <w:highlight w:val="none"/>
          <w:u w:val="single"/>
          <w:lang w:val="zh-CN"/>
        </w:rPr>
        <w:t xml:space="preserve"> 两 </w:t>
      </w:r>
      <w:r>
        <w:rPr>
          <w:rFonts w:hint="eastAsia" w:ascii="仿宋" w:hAnsi="仿宋" w:eastAsia="仿宋" w:cs="仿宋"/>
          <w:color w:val="auto"/>
          <w:sz w:val="24"/>
          <w:highlight w:val="none"/>
          <w:lang w:val="zh-CN"/>
        </w:rPr>
        <w:t>份。</w:t>
      </w:r>
    </w:p>
    <w:p>
      <w:pPr>
        <w:autoSpaceDE w:val="0"/>
        <w:autoSpaceDN w:val="0"/>
        <w:adjustRightInd w:val="0"/>
        <w:snapToGrid w:val="0"/>
        <w:spacing w:line="312" w:lineRule="auto"/>
        <w:ind w:firstLine="630"/>
        <w:rPr>
          <w:rFonts w:ascii="仿宋" w:hAnsi="仿宋" w:eastAsia="仿宋" w:cs="仿宋"/>
          <w:color w:val="auto"/>
          <w:sz w:val="24"/>
          <w:highlight w:val="none"/>
          <w:lang w:val="zh-CN"/>
        </w:rPr>
      </w:pPr>
      <w:r>
        <w:rPr>
          <w:rFonts w:hint="eastAsia" w:ascii="仿宋" w:hAnsi="仿宋" w:eastAsia="仿宋" w:cs="仿宋"/>
          <w:color w:val="auto"/>
          <w:sz w:val="24"/>
          <w:highlight w:val="none"/>
        </w:rPr>
        <w:t>四</w:t>
      </w:r>
      <w:r>
        <w:rPr>
          <w:rFonts w:hint="eastAsia" w:ascii="仿宋" w:hAnsi="仿宋" w:eastAsia="仿宋" w:cs="仿宋"/>
          <w:color w:val="auto"/>
          <w:sz w:val="24"/>
          <w:highlight w:val="none"/>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ascii="仿宋" w:hAnsi="仿宋" w:eastAsia="仿宋" w:cs="仿宋"/>
          <w:color w:val="auto"/>
          <w:sz w:val="24"/>
          <w:highlight w:val="none"/>
        </w:rPr>
      </w:pPr>
      <w:r>
        <w:rPr>
          <w:rFonts w:hint="eastAsia" w:ascii="仿宋" w:hAnsi="仿宋" w:eastAsia="仿宋" w:cs="仿宋"/>
          <w:color w:val="auto"/>
          <w:sz w:val="24"/>
          <w:highlight w:val="none"/>
          <w:lang w:val="zh-CN"/>
        </w:rPr>
        <w:t>五、如果我方在磋商有效期内撤销响应文件，则响应保证金将被贵方不予退还。</w:t>
      </w:r>
    </w:p>
    <w:p>
      <w:pPr>
        <w:autoSpaceDE w:val="0"/>
        <w:autoSpaceDN w:val="0"/>
        <w:adjustRightInd w:val="0"/>
        <w:snapToGrid w:val="0"/>
        <w:spacing w:line="312" w:lineRule="auto"/>
        <w:ind w:firstLine="630"/>
        <w:rPr>
          <w:rFonts w:ascii="仿宋" w:hAnsi="仿宋" w:eastAsia="仿宋" w:cs="仿宋"/>
          <w:color w:val="auto"/>
          <w:sz w:val="24"/>
          <w:highlight w:val="none"/>
          <w:lang w:val="zh-CN"/>
        </w:rPr>
      </w:pPr>
      <w:r>
        <w:rPr>
          <w:rFonts w:hint="eastAsia" w:ascii="仿宋" w:hAnsi="仿宋" w:eastAsia="仿宋" w:cs="仿宋"/>
          <w:color w:val="auto"/>
          <w:sz w:val="24"/>
          <w:highlight w:val="none"/>
        </w:rPr>
        <w:t>六</w:t>
      </w:r>
      <w:r>
        <w:rPr>
          <w:rFonts w:hint="eastAsia" w:ascii="仿宋" w:hAnsi="仿宋" w:eastAsia="仿宋" w:cs="仿宋"/>
          <w:color w:val="auto"/>
          <w:sz w:val="24"/>
          <w:highlight w:val="none"/>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ascii="仿宋" w:hAnsi="仿宋" w:eastAsia="仿宋" w:cs="仿宋"/>
          <w:color w:val="auto"/>
          <w:sz w:val="24"/>
          <w:highlight w:val="none"/>
        </w:rPr>
      </w:pPr>
      <w:r>
        <w:rPr>
          <w:rFonts w:hint="eastAsia" w:ascii="仿宋" w:hAnsi="仿宋" w:eastAsia="仿宋" w:cs="仿宋"/>
          <w:color w:val="auto"/>
          <w:sz w:val="24"/>
          <w:highlight w:val="none"/>
          <w:lang w:val="zh-CN"/>
        </w:rPr>
        <w:t>七、我方的响应文件有效期为自磋商之日起</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u w:val="single"/>
        </w:rPr>
        <w:t xml:space="preserve">60 </w:t>
      </w:r>
      <w:r>
        <w:rPr>
          <w:rFonts w:hint="eastAsia" w:ascii="仿宋" w:hAnsi="仿宋" w:eastAsia="仿宋" w:cs="仿宋"/>
          <w:color w:val="auto"/>
          <w:sz w:val="24"/>
          <w:highlight w:val="none"/>
          <w:lang w:val="zh-CN"/>
        </w:rPr>
        <w:t>个日历天。若我方成交，响应文件有效期延长至合同执行完毕。</w:t>
      </w:r>
    </w:p>
    <w:p>
      <w:pPr>
        <w:autoSpaceDE w:val="0"/>
        <w:autoSpaceDN w:val="0"/>
        <w:adjustRightInd w:val="0"/>
        <w:snapToGrid w:val="0"/>
        <w:spacing w:line="312" w:lineRule="auto"/>
        <w:ind w:firstLine="630"/>
        <w:rPr>
          <w:rFonts w:ascii="仿宋" w:hAnsi="仿宋" w:eastAsia="仿宋" w:cs="仿宋"/>
          <w:color w:val="auto"/>
          <w:sz w:val="24"/>
          <w:highlight w:val="none"/>
        </w:rPr>
      </w:pPr>
      <w:r>
        <w:rPr>
          <w:rFonts w:hint="eastAsia" w:ascii="仿宋" w:hAnsi="仿宋" w:eastAsia="仿宋" w:cs="仿宋"/>
          <w:color w:val="auto"/>
          <w:sz w:val="24"/>
          <w:highlight w:val="none"/>
        </w:rPr>
        <w:t>八</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我方</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（是、否）</w:t>
      </w:r>
      <w:r>
        <w:rPr>
          <w:rFonts w:hint="eastAsia" w:ascii="仿宋" w:hAnsi="仿宋" w:eastAsia="仿宋" w:cs="仿宋"/>
          <w:color w:val="auto"/>
          <w:sz w:val="24"/>
          <w:highlight w:val="none"/>
        </w:rPr>
        <w:t>联合体参加本项目磋商</w:t>
      </w:r>
    </w:p>
    <w:p>
      <w:pPr>
        <w:autoSpaceDE w:val="0"/>
        <w:autoSpaceDN w:val="0"/>
        <w:adjustRightInd w:val="0"/>
        <w:snapToGrid w:val="0"/>
        <w:spacing w:line="312" w:lineRule="auto"/>
        <w:ind w:firstLine="630"/>
        <w:rPr>
          <w:rFonts w:ascii="仿宋" w:hAnsi="仿宋" w:eastAsia="仿宋" w:cs="仿宋"/>
          <w:color w:val="auto"/>
          <w:sz w:val="24"/>
          <w:highlight w:val="none"/>
          <w:lang w:val="zh-CN"/>
        </w:rPr>
      </w:pPr>
      <w:r>
        <w:rPr>
          <w:rFonts w:hint="eastAsia" w:ascii="仿宋" w:hAnsi="仿宋" w:eastAsia="仿宋" w:cs="仿宋"/>
          <w:color w:val="auto"/>
          <w:sz w:val="24"/>
          <w:highlight w:val="none"/>
        </w:rPr>
        <w:t>九、</w:t>
      </w:r>
      <w:r>
        <w:rPr>
          <w:rFonts w:hint="eastAsia" w:ascii="仿宋" w:hAnsi="仿宋" w:eastAsia="仿宋" w:cs="仿宋"/>
          <w:color w:val="auto"/>
          <w:sz w:val="24"/>
          <w:highlight w:val="none"/>
          <w:lang w:val="zh-CN"/>
        </w:rPr>
        <w:t>如我方成交：</w:t>
      </w:r>
    </w:p>
    <w:p>
      <w:pPr>
        <w:autoSpaceDE w:val="0"/>
        <w:autoSpaceDN w:val="0"/>
        <w:adjustRightInd w:val="0"/>
        <w:snapToGrid w:val="0"/>
        <w:spacing w:line="312" w:lineRule="auto"/>
        <w:ind w:firstLine="63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（2）我方承诺按照磋商文件规定向你方递交履约保证金。作为履行合同的担保。</w:t>
      </w:r>
    </w:p>
    <w:p>
      <w:pPr>
        <w:autoSpaceDE w:val="0"/>
        <w:autoSpaceDN w:val="0"/>
        <w:adjustRightInd w:val="0"/>
        <w:snapToGrid w:val="0"/>
        <w:spacing w:line="312" w:lineRule="auto"/>
        <w:ind w:firstLine="63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（4）我方保证在领取成交通知书前按要求支付成交服务费。</w:t>
      </w:r>
    </w:p>
    <w:p>
      <w:pPr>
        <w:autoSpaceDE w:val="0"/>
        <w:autoSpaceDN w:val="0"/>
        <w:adjustRightInd w:val="0"/>
        <w:snapToGrid w:val="0"/>
        <w:spacing w:line="312" w:lineRule="auto"/>
        <w:ind w:firstLine="630"/>
        <w:rPr>
          <w:rFonts w:ascii="仿宋" w:hAnsi="仿宋" w:eastAsia="仿宋" w:cs="仿宋"/>
          <w:color w:val="auto"/>
          <w:sz w:val="24"/>
          <w:highlight w:val="none"/>
          <w:lang w:val="zh-CN"/>
        </w:rPr>
      </w:pPr>
      <w:r>
        <w:rPr>
          <w:rFonts w:hint="eastAsia" w:ascii="仿宋" w:hAnsi="仿宋" w:eastAsia="仿宋" w:cs="仿宋"/>
          <w:color w:val="auto"/>
          <w:sz w:val="24"/>
          <w:highlight w:val="none"/>
        </w:rPr>
        <w:t>十</w:t>
      </w:r>
      <w:r>
        <w:rPr>
          <w:rFonts w:hint="eastAsia" w:ascii="仿宋" w:hAnsi="仿宋" w:eastAsia="仿宋" w:cs="仿宋"/>
          <w:color w:val="auto"/>
          <w:sz w:val="24"/>
          <w:highlight w:val="none"/>
          <w:lang w:val="zh-CN"/>
        </w:rPr>
        <w:t>、有关于本响应文件的函电，请按下列地址联系。</w:t>
      </w:r>
    </w:p>
    <w:p>
      <w:pPr>
        <w:autoSpaceDE w:val="0"/>
        <w:autoSpaceDN w:val="0"/>
        <w:adjustRightInd w:val="0"/>
        <w:snapToGrid w:val="0"/>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lang w:val="zh-CN"/>
        </w:rPr>
        <w:t>地</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址：</w:t>
      </w:r>
      <w:r>
        <w:rPr>
          <w:rFonts w:hint="eastAsia" w:ascii="仿宋" w:hAnsi="仿宋" w:eastAsia="仿宋" w:cs="仿宋"/>
          <w:color w:val="auto"/>
          <w:sz w:val="24"/>
          <w:highlight w:val="none"/>
        </w:rPr>
        <w:t>__________________________________________</w:t>
      </w:r>
    </w:p>
    <w:p>
      <w:pPr>
        <w:autoSpaceDE w:val="0"/>
        <w:autoSpaceDN w:val="0"/>
        <w:adjustRightInd w:val="0"/>
        <w:snapToGrid w:val="0"/>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lang w:val="zh-CN"/>
        </w:rPr>
        <w:t>开户银行：</w:t>
      </w:r>
      <w:r>
        <w:rPr>
          <w:rFonts w:hint="eastAsia" w:ascii="仿宋" w:hAnsi="仿宋" w:eastAsia="仿宋" w:cs="仿宋"/>
          <w:color w:val="auto"/>
          <w:sz w:val="24"/>
          <w:highlight w:val="none"/>
        </w:rPr>
        <w:t>__________________________________________</w:t>
      </w:r>
    </w:p>
    <w:p>
      <w:pPr>
        <w:autoSpaceDE w:val="0"/>
        <w:autoSpaceDN w:val="0"/>
        <w:adjustRightInd w:val="0"/>
        <w:snapToGrid w:val="0"/>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lang w:val="zh-CN"/>
        </w:rPr>
        <w:t>帐</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号：</w:t>
      </w:r>
      <w:r>
        <w:rPr>
          <w:rFonts w:hint="eastAsia" w:ascii="仿宋" w:hAnsi="仿宋" w:eastAsia="仿宋" w:cs="仿宋"/>
          <w:color w:val="auto"/>
          <w:sz w:val="24"/>
          <w:highlight w:val="none"/>
        </w:rPr>
        <w:t>__________________________________________</w:t>
      </w:r>
    </w:p>
    <w:p>
      <w:pPr>
        <w:autoSpaceDE w:val="0"/>
        <w:autoSpaceDN w:val="0"/>
        <w:adjustRightInd w:val="0"/>
        <w:snapToGrid w:val="0"/>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lang w:val="zh-CN"/>
        </w:rPr>
        <w:t>电</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话：</w:t>
      </w:r>
      <w:r>
        <w:rPr>
          <w:rFonts w:hint="eastAsia" w:ascii="仿宋" w:hAnsi="仿宋" w:eastAsia="仿宋" w:cs="仿宋"/>
          <w:color w:val="auto"/>
          <w:sz w:val="24"/>
          <w:highlight w:val="none"/>
        </w:rPr>
        <w:t>_____________________</w:t>
      </w:r>
      <w:r>
        <w:rPr>
          <w:rFonts w:hint="eastAsia" w:ascii="仿宋" w:hAnsi="仿宋" w:eastAsia="仿宋" w:cs="仿宋"/>
          <w:color w:val="auto"/>
          <w:sz w:val="24"/>
          <w:highlight w:val="none"/>
          <w:lang w:val="zh-CN"/>
        </w:rPr>
        <w:t>传</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真：</w:t>
      </w:r>
      <w:r>
        <w:rPr>
          <w:rFonts w:hint="eastAsia" w:ascii="仿宋" w:hAnsi="仿宋" w:eastAsia="仿宋" w:cs="仿宋"/>
          <w:color w:val="auto"/>
          <w:sz w:val="24"/>
          <w:highlight w:val="none"/>
        </w:rPr>
        <w:t>________________</w:t>
      </w:r>
    </w:p>
    <w:p>
      <w:pPr>
        <w:pStyle w:val="25"/>
        <w:rPr>
          <w:rFonts w:ascii="仿宋" w:hAnsi="仿宋" w:eastAsia="仿宋" w:cs="仿宋"/>
          <w:color w:val="auto"/>
          <w:highlight w:val="none"/>
        </w:rPr>
      </w:pPr>
    </w:p>
    <w:p>
      <w:pPr>
        <w:autoSpaceDE w:val="0"/>
        <w:autoSpaceDN w:val="0"/>
        <w:adjustRightInd w:val="0"/>
        <w:snapToGrid w:val="0"/>
        <w:spacing w:line="312"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供应商全称（公章）：</w:t>
      </w:r>
    </w:p>
    <w:p>
      <w:pPr>
        <w:autoSpaceDE w:val="0"/>
        <w:autoSpaceDN w:val="0"/>
        <w:adjustRightInd w:val="0"/>
        <w:snapToGrid w:val="0"/>
        <w:spacing w:line="312" w:lineRule="auto"/>
        <w:rPr>
          <w:rFonts w:ascii="仿宋" w:hAnsi="仿宋" w:eastAsia="仿宋" w:cs="仿宋"/>
          <w:color w:val="auto"/>
          <w:sz w:val="24"/>
          <w:highlight w:val="none"/>
        </w:rPr>
      </w:pPr>
      <w:r>
        <w:rPr>
          <w:rFonts w:hint="eastAsia" w:ascii="仿宋" w:hAnsi="仿宋" w:eastAsia="仿宋" w:cs="仿宋"/>
          <w:color w:val="auto"/>
          <w:sz w:val="24"/>
          <w:highlight w:val="none"/>
          <w:lang w:val="zh-CN"/>
        </w:rPr>
        <w:t>法定代表人</w:t>
      </w:r>
      <w:r>
        <w:rPr>
          <w:rFonts w:hint="eastAsia" w:ascii="仿宋" w:hAnsi="仿宋" w:eastAsia="仿宋" w:cs="仿宋"/>
          <w:color w:val="auto"/>
          <w:sz w:val="24"/>
          <w:highlight w:val="none"/>
        </w:rPr>
        <w:t>（或单位负责人）</w:t>
      </w:r>
      <w:r>
        <w:rPr>
          <w:rFonts w:hint="eastAsia" w:ascii="仿宋" w:hAnsi="仿宋" w:eastAsia="仿宋" w:cs="仿宋"/>
          <w:color w:val="auto"/>
          <w:sz w:val="24"/>
          <w:highlight w:val="none"/>
          <w:lang w:val="zh-CN"/>
        </w:rPr>
        <w:t>或授权代表（签字或盖章）：</w:t>
      </w:r>
      <w:r>
        <w:rPr>
          <w:rFonts w:hint="eastAsia" w:ascii="仿宋" w:hAnsi="仿宋" w:eastAsia="仿宋" w:cs="仿宋"/>
          <w:color w:val="auto"/>
          <w:sz w:val="24"/>
          <w:highlight w:val="none"/>
        </w:rPr>
        <w:t>________________</w:t>
      </w:r>
    </w:p>
    <w:p>
      <w:pPr>
        <w:pStyle w:val="25"/>
        <w:rPr>
          <w:rFonts w:ascii="仿宋" w:hAnsi="仿宋" w:eastAsia="仿宋" w:cs="仿宋"/>
          <w:color w:val="auto"/>
          <w:sz w:val="24"/>
          <w:highlight w:val="none"/>
        </w:rPr>
      </w:pPr>
      <w:r>
        <w:rPr>
          <w:rFonts w:hint="eastAsia" w:ascii="仿宋" w:hAnsi="仿宋" w:eastAsia="仿宋" w:cs="仿宋"/>
          <w:color w:val="auto"/>
          <w:sz w:val="24"/>
          <w:highlight w:val="none"/>
        </w:rPr>
        <w:t xml:space="preserve">                 _____</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rPr>
        <w:t>_____</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_____</w:t>
      </w:r>
      <w:r>
        <w:rPr>
          <w:rFonts w:hint="eastAsia" w:ascii="仿宋" w:hAnsi="仿宋" w:eastAsia="仿宋" w:cs="仿宋"/>
          <w:color w:val="auto"/>
          <w:sz w:val="24"/>
          <w:highlight w:val="none"/>
          <w:lang w:val="zh-CN"/>
        </w:rPr>
        <w:t>日</w:t>
      </w:r>
    </w:p>
    <w:p>
      <w:pPr>
        <w:pStyle w:val="196"/>
        <w:ind w:firstLine="0"/>
        <w:jc w:val="center"/>
        <w:outlineLvl w:val="1"/>
        <w:rPr>
          <w:rFonts w:ascii="仿宋" w:hAnsi="仿宋" w:eastAsia="仿宋" w:cs="仿宋"/>
          <w:b/>
          <w:bCs/>
          <w:color w:val="auto"/>
          <w:sz w:val="32"/>
          <w:szCs w:val="32"/>
          <w:highlight w:val="none"/>
        </w:rPr>
      </w:pPr>
      <w:bookmarkStart w:id="492" w:name="_Hlt520356241"/>
      <w:bookmarkEnd w:id="492"/>
      <w:bookmarkStart w:id="493" w:name="_Toc10742"/>
      <w:bookmarkStart w:id="494" w:name="_Toc232176284"/>
      <w:bookmarkStart w:id="495" w:name="_Toc230583554"/>
      <w:bookmarkStart w:id="496" w:name="_Toc232395224"/>
      <w:bookmarkStart w:id="497" w:name="_Toc249525252"/>
      <w:bookmarkStart w:id="498" w:name="_Toc415499901"/>
      <w:bookmarkStart w:id="499" w:name="_Toc8496"/>
      <w:bookmarkStart w:id="500" w:name="_Toc230013640"/>
      <w:bookmarkStart w:id="501" w:name="_Toc256342154"/>
      <w:bookmarkStart w:id="502" w:name="_Toc230099805"/>
      <w:bookmarkStart w:id="503" w:name="_Toc249515371"/>
      <w:r>
        <w:rPr>
          <w:rFonts w:hint="eastAsia" w:ascii="仿宋" w:hAnsi="仿宋" w:eastAsia="仿宋" w:cs="仿宋"/>
          <w:b/>
          <w:bCs/>
          <w:color w:val="auto"/>
          <w:kern w:val="2"/>
          <w:sz w:val="32"/>
          <w:szCs w:val="32"/>
          <w:highlight w:val="none"/>
          <w:lang w:val="zh-CN"/>
        </w:rPr>
        <w:t>第二部分  磋商响应报价表</w:t>
      </w:r>
      <w:bookmarkEnd w:id="493"/>
    </w:p>
    <w:p>
      <w:pPr>
        <w:autoSpaceDE w:val="0"/>
        <w:autoSpaceDN w:val="0"/>
        <w:adjustRightInd w:val="0"/>
        <w:snapToGrid w:val="0"/>
        <w:spacing w:line="360" w:lineRule="auto"/>
        <w:jc w:val="center"/>
        <w:rPr>
          <w:rFonts w:ascii="仿宋" w:hAnsi="仿宋" w:eastAsia="仿宋" w:cs="仿宋"/>
          <w:b/>
          <w:bCs/>
          <w:color w:val="auto"/>
          <w:sz w:val="32"/>
          <w:szCs w:val="32"/>
          <w:highlight w:val="none"/>
        </w:rPr>
      </w:pPr>
    </w:p>
    <w:p>
      <w:pPr>
        <w:pStyle w:val="6"/>
        <w:jc w:val="center"/>
        <w:rPr>
          <w:rFonts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t>首次响应</w:t>
      </w:r>
      <w:r>
        <w:rPr>
          <w:rFonts w:hint="eastAsia" w:ascii="仿宋" w:hAnsi="仿宋" w:eastAsia="仿宋" w:cs="仿宋"/>
          <w:b/>
          <w:bCs/>
          <w:color w:val="auto"/>
          <w:sz w:val="28"/>
          <w:szCs w:val="36"/>
          <w:highlight w:val="none"/>
          <w:lang w:val="zh-CN"/>
        </w:rPr>
        <w:t>报价表</w:t>
      </w:r>
    </w:p>
    <w:p>
      <w:pPr>
        <w:autoSpaceDE w:val="0"/>
        <w:autoSpaceDN w:val="0"/>
        <w:adjustRightInd w:val="0"/>
        <w:snapToGrid w:val="0"/>
        <w:spacing w:line="360" w:lineRule="auto"/>
        <w:jc w:val="right"/>
        <w:rPr>
          <w:rFonts w:ascii="仿宋" w:hAnsi="仿宋" w:eastAsia="仿宋" w:cs="仿宋"/>
          <w:color w:val="auto"/>
          <w:sz w:val="24"/>
          <w:highlight w:val="none"/>
          <w:lang w:val="zh-CN"/>
        </w:rPr>
      </w:pPr>
      <w:r>
        <w:rPr>
          <w:rFonts w:hint="eastAsia" w:ascii="仿宋" w:hAnsi="仿宋" w:eastAsia="仿宋" w:cs="仿宋"/>
          <w:color w:val="auto"/>
          <w:sz w:val="32"/>
          <w:szCs w:val="32"/>
          <w:highlight w:val="none"/>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5"/>
              <w:jc w:val="center"/>
              <w:rPr>
                <w:rFonts w:ascii="仿宋" w:hAnsi="仿宋" w:eastAsia="仿宋" w:cs="仿宋"/>
                <w:b/>
                <w:color w:val="auto"/>
                <w:sz w:val="24"/>
                <w:highlight w:val="none"/>
              </w:rPr>
            </w:pPr>
            <w:r>
              <w:rPr>
                <w:rFonts w:hint="eastAsia" w:ascii="仿宋" w:hAnsi="仿宋" w:eastAsia="仿宋" w:cs="仿宋"/>
                <w:color w:val="auto"/>
                <w:sz w:val="24"/>
                <w:highlight w:val="none"/>
                <w:lang w:val="zh-CN"/>
              </w:rPr>
              <w:br w:type="page"/>
            </w:r>
            <w:r>
              <w:rPr>
                <w:rFonts w:hint="eastAsia" w:ascii="仿宋" w:hAnsi="仿宋" w:eastAsia="仿宋" w:cs="仿宋"/>
                <w:b/>
                <w:color w:val="auto"/>
                <w:sz w:val="24"/>
                <w:highlight w:val="none"/>
              </w:rPr>
              <w:t>项目编号及名称</w:t>
            </w:r>
          </w:p>
        </w:tc>
        <w:tc>
          <w:tcPr>
            <w:tcW w:w="6697" w:type="dxa"/>
            <w:vAlign w:val="center"/>
          </w:tcPr>
          <w:p>
            <w:pPr>
              <w:pStyle w:val="25"/>
              <w:rPr>
                <w:rFonts w:ascii="仿宋" w:hAnsi="仿宋" w:eastAsia="仿宋" w:cs="仿宋"/>
                <w:color w:val="auto"/>
                <w:sz w:val="24"/>
                <w:highlight w:val="none"/>
                <w:u w:val="single"/>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SCZC2023-CS-1763-001</w:t>
            </w:r>
            <w:r>
              <w:rPr>
                <w:rFonts w:hint="eastAsia" w:ascii="仿宋" w:hAnsi="仿宋" w:eastAsia="仿宋" w:cs="仿宋"/>
                <w:color w:val="auto"/>
                <w:sz w:val="24"/>
                <w:highlight w:val="none"/>
                <w:u w:val="single"/>
              </w:rPr>
              <w:t xml:space="preserve">              </w:t>
            </w:r>
          </w:p>
          <w:p>
            <w:pPr>
              <w:pStyle w:val="25"/>
              <w:rPr>
                <w:rFonts w:ascii="仿宋" w:hAnsi="仿宋" w:eastAsia="仿宋" w:cs="仿宋"/>
                <w:color w:val="auto"/>
                <w:sz w:val="24"/>
                <w:highlight w:val="none"/>
                <w:u w:val="singl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西安浐灞生态区绿地生态城2期东区1#别墅、围墙及白龙池路安全性检测鉴定项目</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5"/>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响应总报价</w:t>
            </w:r>
          </w:p>
        </w:tc>
        <w:tc>
          <w:tcPr>
            <w:tcW w:w="6697" w:type="dxa"/>
            <w:vAlign w:val="center"/>
          </w:tcPr>
          <w:p>
            <w:pPr>
              <w:pStyle w:val="25"/>
              <w:rPr>
                <w:rFonts w:ascii="仿宋" w:hAnsi="仿宋" w:eastAsia="仿宋" w:cs="仿宋"/>
                <w:color w:val="auto"/>
                <w:sz w:val="24"/>
                <w:highlight w:val="none"/>
              </w:rPr>
            </w:pPr>
            <w:r>
              <w:rPr>
                <w:rFonts w:hint="eastAsia" w:ascii="仿宋" w:hAnsi="仿宋" w:eastAsia="仿宋" w:cs="仿宋"/>
                <w:color w:val="auto"/>
                <w:sz w:val="24"/>
                <w:highlight w:val="none"/>
              </w:rPr>
              <w:t>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整（小写：¥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5"/>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履行期限</w:t>
            </w:r>
          </w:p>
        </w:tc>
        <w:tc>
          <w:tcPr>
            <w:tcW w:w="6697" w:type="dxa"/>
            <w:vAlign w:val="center"/>
          </w:tcPr>
          <w:p>
            <w:pPr>
              <w:pStyle w:val="25"/>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5"/>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备注</w:t>
            </w:r>
          </w:p>
        </w:tc>
        <w:tc>
          <w:tcPr>
            <w:tcW w:w="6697" w:type="dxa"/>
            <w:vAlign w:val="center"/>
          </w:tcPr>
          <w:p>
            <w:pPr>
              <w:pStyle w:val="25"/>
              <w:rPr>
                <w:rFonts w:ascii="仿宋" w:hAnsi="仿宋" w:eastAsia="仿宋" w:cs="仿宋"/>
                <w:color w:val="auto"/>
                <w:sz w:val="24"/>
                <w:highlight w:val="none"/>
              </w:rPr>
            </w:pPr>
          </w:p>
        </w:tc>
      </w:tr>
    </w:tbl>
    <w:p>
      <w:pPr>
        <w:pStyle w:val="25"/>
        <w:rPr>
          <w:rFonts w:ascii="仿宋" w:hAnsi="仿宋" w:eastAsia="仿宋" w:cs="仿宋"/>
          <w:color w:val="auto"/>
          <w:highlight w:val="none"/>
          <w:lang w:val="zh-CN"/>
        </w:rPr>
      </w:pPr>
    </w:p>
    <w:p>
      <w:pPr>
        <w:autoSpaceDE w:val="0"/>
        <w:autoSpaceDN w:val="0"/>
        <w:adjustRightInd w:val="0"/>
        <w:snapToGrid w:val="0"/>
        <w:spacing w:line="360" w:lineRule="auto"/>
        <w:ind w:firstLine="1080" w:firstLineChars="45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供应商</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法定代表人</w:t>
      </w:r>
      <w:r>
        <w:rPr>
          <w:rFonts w:hint="eastAsia" w:ascii="仿宋" w:hAnsi="仿宋" w:eastAsia="仿宋" w:cs="仿宋"/>
          <w:color w:val="auto"/>
          <w:sz w:val="24"/>
          <w:highlight w:val="none"/>
        </w:rPr>
        <w:t>（或单位负责人）或</w:t>
      </w:r>
      <w:r>
        <w:rPr>
          <w:rFonts w:hint="eastAsia" w:ascii="仿宋" w:hAnsi="仿宋" w:eastAsia="仿宋" w:cs="仿宋"/>
          <w:color w:val="auto"/>
          <w:sz w:val="24"/>
          <w:highlight w:val="none"/>
          <w:lang w:val="zh-CN"/>
        </w:rPr>
        <w:t>授权代表</w:t>
      </w:r>
    </w:p>
    <w:p>
      <w:pPr>
        <w:autoSpaceDE w:val="0"/>
        <w:autoSpaceDN w:val="0"/>
        <w:adjustRightInd w:val="0"/>
        <w:snapToGrid w:val="0"/>
        <w:spacing w:line="360" w:lineRule="auto"/>
        <w:ind w:firstLine="960" w:firstLineChars="4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（公章）：                            （</w:t>
      </w:r>
      <w:r>
        <w:rPr>
          <w:rFonts w:hint="eastAsia" w:ascii="仿宋" w:hAnsi="仿宋" w:eastAsia="仿宋" w:cs="仿宋"/>
          <w:b/>
          <w:color w:val="auto"/>
          <w:sz w:val="24"/>
          <w:highlight w:val="none"/>
          <w:lang w:val="zh-CN"/>
        </w:rPr>
        <w:t>签字或盖章</w:t>
      </w:r>
      <w:r>
        <w:rPr>
          <w:rFonts w:hint="eastAsia" w:ascii="仿宋" w:hAnsi="仿宋" w:eastAsia="仿宋" w:cs="仿宋"/>
          <w:color w:val="auto"/>
          <w:sz w:val="24"/>
          <w:highlight w:val="none"/>
          <w:lang w:val="zh-CN"/>
        </w:rPr>
        <w:t>）：</w:t>
      </w:r>
    </w:p>
    <w:p>
      <w:pPr>
        <w:autoSpaceDE w:val="0"/>
        <w:autoSpaceDN w:val="0"/>
        <w:adjustRightInd w:val="0"/>
        <w:snapToGrid w:val="0"/>
        <w:spacing w:line="360" w:lineRule="auto"/>
        <w:rPr>
          <w:rFonts w:ascii="仿宋" w:hAnsi="仿宋" w:eastAsia="仿宋" w:cs="仿宋"/>
          <w:color w:val="auto"/>
          <w:sz w:val="24"/>
          <w:highlight w:val="none"/>
          <w:lang w:val="zh-CN"/>
        </w:rPr>
      </w:pPr>
    </w:p>
    <w:p>
      <w:pPr>
        <w:autoSpaceDE w:val="0"/>
        <w:autoSpaceDN w:val="0"/>
        <w:adjustRightInd w:val="0"/>
        <w:snapToGrid w:val="0"/>
        <w:spacing w:line="360" w:lineRule="auto"/>
        <w:ind w:firstLine="240" w:firstLineChars="1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 xml:space="preserve">年 </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p>
    <w:p>
      <w:pPr>
        <w:adjustRightInd w:val="0"/>
        <w:snapToGrid w:val="0"/>
        <w:spacing w:line="360" w:lineRule="auto"/>
        <w:jc w:val="center"/>
        <w:rPr>
          <w:rFonts w:ascii="仿宋" w:hAnsi="仿宋" w:eastAsia="仿宋" w:cs="仿宋"/>
          <w:b/>
          <w:color w:val="auto"/>
          <w:sz w:val="42"/>
          <w:highlight w:val="none"/>
        </w:rPr>
      </w:pPr>
    </w:p>
    <w:p>
      <w:pPr>
        <w:adjustRightInd w:val="0"/>
        <w:snapToGrid w:val="0"/>
        <w:spacing w:line="360" w:lineRule="auto"/>
        <w:jc w:val="center"/>
        <w:rPr>
          <w:rFonts w:ascii="仿宋" w:hAnsi="仿宋" w:eastAsia="仿宋" w:cs="仿宋"/>
          <w:b/>
          <w:color w:val="auto"/>
          <w:sz w:val="42"/>
          <w:highlight w:val="none"/>
        </w:rPr>
      </w:pPr>
    </w:p>
    <w:p>
      <w:pPr>
        <w:adjustRightInd w:val="0"/>
        <w:snapToGrid w:val="0"/>
        <w:spacing w:line="360" w:lineRule="auto"/>
        <w:jc w:val="center"/>
        <w:rPr>
          <w:rFonts w:ascii="仿宋" w:hAnsi="仿宋" w:eastAsia="仿宋" w:cs="仿宋"/>
          <w:b/>
          <w:color w:val="auto"/>
          <w:sz w:val="42"/>
          <w:highlight w:val="none"/>
        </w:rPr>
        <w:sectPr>
          <w:headerReference r:id="rId7" w:type="default"/>
          <w:footerReference r:id="rId8" w:type="default"/>
          <w:pgSz w:w="11906" w:h="16838"/>
          <w:pgMar w:top="1418" w:right="1418" w:bottom="1418" w:left="1418" w:header="851" w:footer="992" w:gutter="0"/>
          <w:cols w:space="720" w:num="1"/>
          <w:docGrid w:linePitch="312" w:charSpace="0"/>
        </w:sectPr>
      </w:pPr>
    </w:p>
    <w:p>
      <w:pPr>
        <w:pStyle w:val="6"/>
        <w:jc w:val="center"/>
        <w:rPr>
          <w:rFonts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t>（首次）分项报价表</w:t>
      </w:r>
    </w:p>
    <w:p>
      <w:pPr>
        <w:pStyle w:val="25"/>
        <w:rPr>
          <w:rFonts w:ascii="仿宋" w:hAnsi="仿宋" w:eastAsia="仿宋" w:cs="仿宋"/>
          <w:color w:val="auto"/>
          <w:sz w:val="24"/>
          <w:highlight w:val="none"/>
          <w:u w:val="single"/>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SCZC2023-CS-1763-001</w:t>
      </w:r>
      <w:r>
        <w:rPr>
          <w:rFonts w:hint="eastAsia" w:ascii="仿宋" w:hAnsi="仿宋" w:eastAsia="仿宋" w:cs="仿宋"/>
          <w:color w:val="auto"/>
          <w:sz w:val="24"/>
          <w:highlight w:val="none"/>
          <w:u w:val="single"/>
        </w:rPr>
        <w:t xml:space="preserve"> </w:t>
      </w:r>
    </w:p>
    <w:p>
      <w:pPr>
        <w:rPr>
          <w:rFonts w:hint="eastAsia" w:ascii="仿宋" w:hAnsi="仿宋" w:eastAsia="仿宋" w:cs="仿宋"/>
          <w:color w:val="auto"/>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西安浐灞生态区绿地生态城2期东区1#别墅、围墙及白龙池路安全性检测鉴定项目</w:t>
      </w:r>
    </w:p>
    <w:tbl>
      <w:tblPr>
        <w:tblStyle w:val="50"/>
        <w:tblW w:w="8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519"/>
        <w:gridCol w:w="1033"/>
        <w:gridCol w:w="1276"/>
        <w:gridCol w:w="1299"/>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428"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服务名称</w:t>
            </w:r>
          </w:p>
        </w:tc>
        <w:tc>
          <w:tcPr>
            <w:tcW w:w="1519"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服务内容</w:t>
            </w:r>
          </w:p>
        </w:tc>
        <w:tc>
          <w:tcPr>
            <w:tcW w:w="1033"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数量/单位</w:t>
            </w:r>
          </w:p>
        </w:tc>
        <w:tc>
          <w:tcPr>
            <w:tcW w:w="1276"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单价（元）</w:t>
            </w:r>
          </w:p>
        </w:tc>
        <w:tc>
          <w:tcPr>
            <w:tcW w:w="1299"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小计（元）</w:t>
            </w:r>
          </w:p>
        </w:tc>
        <w:tc>
          <w:tcPr>
            <w:tcW w:w="963"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bl>
    <w:p>
      <w:pPr>
        <w:autoSpaceDE w:val="0"/>
        <w:autoSpaceDN w:val="0"/>
        <w:adjustRightInd w:val="0"/>
        <w:snapToGrid w:val="0"/>
        <w:spacing w:before="120" w:line="360" w:lineRule="auto"/>
        <w:ind w:left="-206" w:leftChars="-98"/>
        <w:jc w:val="left"/>
        <w:rPr>
          <w:rFonts w:ascii="仿宋" w:hAnsi="仿宋" w:eastAsia="仿宋" w:cs="仿宋"/>
          <w:color w:val="auto"/>
          <w:kern w:val="0"/>
          <w:sz w:val="24"/>
          <w:szCs w:val="28"/>
          <w:highlight w:val="none"/>
        </w:rPr>
      </w:pPr>
    </w:p>
    <w:p>
      <w:pPr>
        <w:adjustRightInd w:val="0"/>
        <w:snapToGrid w:val="0"/>
        <w:spacing w:line="360" w:lineRule="auto"/>
        <w:ind w:firstLine="120" w:firstLineChars="50"/>
        <w:rPr>
          <w:rFonts w:ascii="仿宋" w:hAnsi="仿宋" w:eastAsia="仿宋" w:cs="仿宋"/>
          <w:color w:val="auto"/>
          <w:sz w:val="24"/>
          <w:highlight w:val="none"/>
        </w:rPr>
      </w:pPr>
      <w:r>
        <w:rPr>
          <w:rFonts w:hint="eastAsia" w:ascii="仿宋" w:hAnsi="仿宋" w:eastAsia="仿宋" w:cs="仿宋"/>
          <w:color w:val="auto"/>
          <w:sz w:val="24"/>
          <w:highlight w:val="none"/>
        </w:rPr>
        <w:t>供应商                         法定代表人（或单位负责人）或授权代表</w:t>
      </w:r>
    </w:p>
    <w:p>
      <w:pPr>
        <w:adjustRightInd w:val="0"/>
        <w:snapToGrid w:val="0"/>
        <w:spacing w:line="360" w:lineRule="auto"/>
        <w:ind w:left="-525" w:leftChars="-250"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（公章）：                          （签字或盖章）：</w:t>
      </w:r>
    </w:p>
    <w:p>
      <w:pPr>
        <w:adjustRightInd w:val="0"/>
        <w:snapToGrid w:val="0"/>
        <w:spacing w:line="360" w:lineRule="auto"/>
        <w:jc w:val="center"/>
        <w:rPr>
          <w:rFonts w:ascii="仿宋" w:hAnsi="仿宋" w:eastAsia="仿宋" w:cs="仿宋"/>
          <w:b/>
          <w:color w:val="auto"/>
          <w:sz w:val="42"/>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 xml:space="preserve">年 </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p>
    <w:p>
      <w:pPr>
        <w:spacing w:line="288" w:lineRule="auto"/>
        <w:ind w:left="424" w:leftChars="202"/>
        <w:rPr>
          <w:rFonts w:ascii="仿宋" w:hAnsi="仿宋" w:eastAsia="仿宋" w:cs="仿宋"/>
          <w:bCs/>
          <w:color w:val="auto"/>
          <w:sz w:val="24"/>
          <w:highlight w:val="none"/>
        </w:rPr>
      </w:pPr>
    </w:p>
    <w:p>
      <w:pPr>
        <w:pStyle w:val="25"/>
        <w:rPr>
          <w:rFonts w:ascii="仿宋" w:hAnsi="仿宋" w:eastAsia="仿宋" w:cs="仿宋"/>
          <w:color w:val="auto"/>
          <w:highlight w:val="none"/>
        </w:rPr>
      </w:pPr>
    </w:p>
    <w:p>
      <w:pP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p>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94"/>
    <w:bookmarkEnd w:id="495"/>
    <w:bookmarkEnd w:id="496"/>
    <w:bookmarkEnd w:id="497"/>
    <w:bookmarkEnd w:id="498"/>
    <w:bookmarkEnd w:id="499"/>
    <w:bookmarkEnd w:id="500"/>
    <w:bookmarkEnd w:id="501"/>
    <w:bookmarkEnd w:id="502"/>
    <w:bookmarkEnd w:id="503"/>
    <w:p>
      <w:pPr>
        <w:pStyle w:val="5"/>
        <w:jc w:val="center"/>
        <w:rPr>
          <w:rFonts w:ascii="仿宋" w:hAnsi="仿宋" w:eastAsia="仿宋" w:cs="仿宋"/>
          <w:b/>
          <w:bCs/>
          <w:color w:val="auto"/>
          <w:highlight w:val="none"/>
        </w:rPr>
      </w:pPr>
      <w:bookmarkStart w:id="504" w:name="_Toc6315"/>
      <w:bookmarkStart w:id="505" w:name="_Toc500747107"/>
      <w:bookmarkStart w:id="506" w:name="_Toc492955460"/>
      <w:bookmarkStart w:id="507" w:name="_Toc230013641"/>
      <w:bookmarkStart w:id="508" w:name="_Toc249515372"/>
      <w:bookmarkStart w:id="509" w:name="_Toc70687203"/>
      <w:bookmarkStart w:id="510" w:name="_Toc249525253"/>
      <w:bookmarkStart w:id="511" w:name="_Toc389620242"/>
      <w:bookmarkStart w:id="512" w:name="_Toc415499902"/>
      <w:bookmarkStart w:id="513" w:name="_Toc256342155"/>
      <w:bookmarkStart w:id="514" w:name="_Toc83547687"/>
      <w:bookmarkStart w:id="515" w:name="_Toc184043059"/>
      <w:bookmarkStart w:id="516" w:name="_Toc500747011"/>
      <w:bookmarkStart w:id="517" w:name="_Toc500747234"/>
      <w:bookmarkStart w:id="518" w:name="_Toc232395225"/>
      <w:bookmarkStart w:id="519" w:name="_Toc230099806"/>
      <w:bookmarkStart w:id="520" w:name="_Toc496324624"/>
      <w:bookmarkStart w:id="521" w:name="_Toc499711929"/>
      <w:bookmarkStart w:id="522" w:name="_Toc53722866"/>
      <w:bookmarkStart w:id="523" w:name="_Toc177189246"/>
      <w:bookmarkStart w:id="524" w:name="_Toc499711088"/>
      <w:bookmarkStart w:id="525" w:name="_Toc230583555"/>
      <w:bookmarkStart w:id="526" w:name="_Toc177995484"/>
      <w:bookmarkStart w:id="527" w:name="_Toc225933091"/>
      <w:bookmarkStart w:id="528" w:name="_Toc232176285"/>
      <w:bookmarkStart w:id="529" w:name="_Toc385992402"/>
      <w:bookmarkStart w:id="530" w:name="_Toc176882553"/>
      <w:bookmarkStart w:id="531" w:name="_Toc177817345"/>
      <w:bookmarkStart w:id="532" w:name="_Toc503063459"/>
      <w:r>
        <w:rPr>
          <w:rFonts w:hint="eastAsia" w:ascii="仿宋" w:hAnsi="仿宋" w:eastAsia="仿宋" w:cs="仿宋"/>
          <w:b/>
          <w:bCs/>
          <w:color w:val="auto"/>
          <w:highlight w:val="none"/>
        </w:rPr>
        <w:t>第三部分  偏离表</w:t>
      </w:r>
      <w:bookmarkEnd w:id="504"/>
    </w:p>
    <w:p>
      <w:pPr>
        <w:rPr>
          <w:rFonts w:ascii="仿宋" w:hAnsi="仿宋" w:eastAsia="仿宋" w:cs="仿宋"/>
          <w:color w:val="auto"/>
          <w:highlight w:val="none"/>
        </w:rPr>
      </w:pPr>
    </w:p>
    <w:p>
      <w:pPr>
        <w:pStyle w:val="6"/>
        <w:jc w:val="center"/>
        <w:rPr>
          <w:rFonts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t>一、商务、合同条款偏离表</w:t>
      </w:r>
    </w:p>
    <w:p>
      <w:pPr>
        <w:pStyle w:val="25"/>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SCZC2023-CS-1763-001</w:t>
      </w:r>
    </w:p>
    <w:p>
      <w:pPr>
        <w:pStyle w:val="25"/>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西安浐灞生态区绿地生态城2期东区1#别墅、围墙及白龙池路安全性检测鉴定项目</w:t>
      </w:r>
    </w:p>
    <w:tbl>
      <w:tblPr>
        <w:tblStyle w:val="50"/>
        <w:tblW w:w="10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748"/>
        <w:gridCol w:w="1313"/>
        <w:gridCol w:w="1489"/>
        <w:gridCol w:w="1778"/>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vAlign w:val="center"/>
          </w:tcPr>
          <w:p>
            <w:pPr>
              <w:pStyle w:val="3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748" w:type="dxa"/>
            <w:vAlign w:val="center"/>
          </w:tcPr>
          <w:p>
            <w:pPr>
              <w:pStyle w:val="3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磋商文件商务、合同条款</w:t>
            </w:r>
          </w:p>
        </w:tc>
        <w:tc>
          <w:tcPr>
            <w:tcW w:w="1313" w:type="dxa"/>
            <w:vAlign w:val="center"/>
          </w:tcPr>
          <w:p>
            <w:pPr>
              <w:pStyle w:val="3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完全响应</w:t>
            </w:r>
          </w:p>
        </w:tc>
        <w:tc>
          <w:tcPr>
            <w:tcW w:w="1489" w:type="dxa"/>
            <w:vAlign w:val="center"/>
          </w:tcPr>
          <w:p>
            <w:pPr>
              <w:pStyle w:val="3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有偏离</w:t>
            </w:r>
          </w:p>
        </w:tc>
        <w:tc>
          <w:tcPr>
            <w:tcW w:w="1778" w:type="dxa"/>
            <w:vAlign w:val="center"/>
          </w:tcPr>
          <w:p>
            <w:pPr>
              <w:pStyle w:val="3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偏离简述</w:t>
            </w:r>
          </w:p>
        </w:tc>
        <w:tc>
          <w:tcPr>
            <w:tcW w:w="2205" w:type="dxa"/>
            <w:vAlign w:val="center"/>
          </w:tcPr>
          <w:p>
            <w:pPr>
              <w:pStyle w:val="3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80" w:type="dxa"/>
            <w:vAlign w:val="center"/>
          </w:tcPr>
          <w:p>
            <w:pPr>
              <w:pStyle w:val="3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748" w:type="dxa"/>
            <w:vAlign w:val="center"/>
          </w:tcPr>
          <w:p>
            <w:pPr>
              <w:spacing w:line="360" w:lineRule="auto"/>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(履行期限)</w:t>
            </w:r>
          </w:p>
        </w:tc>
        <w:tc>
          <w:tcPr>
            <w:tcW w:w="1313" w:type="dxa"/>
          </w:tcPr>
          <w:p>
            <w:pPr>
              <w:pStyle w:val="31"/>
              <w:jc w:val="center"/>
              <w:rPr>
                <w:rFonts w:ascii="仿宋" w:hAnsi="仿宋" w:eastAsia="仿宋" w:cs="仿宋"/>
                <w:color w:val="auto"/>
                <w:sz w:val="24"/>
                <w:szCs w:val="24"/>
                <w:highlight w:val="none"/>
              </w:rPr>
            </w:pPr>
          </w:p>
        </w:tc>
        <w:tc>
          <w:tcPr>
            <w:tcW w:w="1489" w:type="dxa"/>
          </w:tcPr>
          <w:p>
            <w:pPr>
              <w:pStyle w:val="31"/>
              <w:jc w:val="center"/>
              <w:rPr>
                <w:rFonts w:ascii="仿宋" w:hAnsi="仿宋" w:eastAsia="仿宋" w:cs="仿宋"/>
                <w:color w:val="auto"/>
                <w:sz w:val="24"/>
                <w:szCs w:val="24"/>
                <w:highlight w:val="none"/>
              </w:rPr>
            </w:pPr>
          </w:p>
        </w:tc>
        <w:tc>
          <w:tcPr>
            <w:tcW w:w="1778" w:type="dxa"/>
          </w:tcPr>
          <w:p>
            <w:pPr>
              <w:pStyle w:val="31"/>
              <w:jc w:val="center"/>
              <w:rPr>
                <w:rFonts w:ascii="仿宋" w:hAnsi="仿宋" w:eastAsia="仿宋" w:cs="仿宋"/>
                <w:color w:val="auto"/>
                <w:sz w:val="24"/>
                <w:szCs w:val="24"/>
                <w:highlight w:val="none"/>
              </w:rPr>
            </w:pPr>
          </w:p>
        </w:tc>
        <w:tc>
          <w:tcPr>
            <w:tcW w:w="2205" w:type="dxa"/>
          </w:tcPr>
          <w:p>
            <w:pPr>
              <w:pStyle w:val="31"/>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780" w:type="dxa"/>
            <w:vAlign w:val="center"/>
          </w:tcPr>
          <w:p>
            <w:pPr>
              <w:pStyle w:val="3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748" w:type="dxa"/>
            <w:vAlign w:val="center"/>
          </w:tcPr>
          <w:p>
            <w:pPr>
              <w:spacing w:line="360" w:lineRule="auto"/>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(付款方式)</w:t>
            </w:r>
          </w:p>
        </w:tc>
        <w:tc>
          <w:tcPr>
            <w:tcW w:w="1313" w:type="dxa"/>
          </w:tcPr>
          <w:p>
            <w:pPr>
              <w:pStyle w:val="31"/>
              <w:ind w:left="1080" w:leftChars="257" w:hanging="540"/>
              <w:jc w:val="center"/>
              <w:rPr>
                <w:rFonts w:ascii="仿宋" w:hAnsi="仿宋" w:eastAsia="仿宋" w:cs="仿宋"/>
                <w:color w:val="auto"/>
                <w:sz w:val="24"/>
                <w:szCs w:val="24"/>
                <w:highlight w:val="none"/>
              </w:rPr>
            </w:pPr>
          </w:p>
        </w:tc>
        <w:tc>
          <w:tcPr>
            <w:tcW w:w="1489" w:type="dxa"/>
          </w:tcPr>
          <w:p>
            <w:pPr>
              <w:pStyle w:val="31"/>
              <w:ind w:left="1080" w:leftChars="257" w:hanging="540"/>
              <w:jc w:val="center"/>
              <w:rPr>
                <w:rFonts w:ascii="仿宋" w:hAnsi="仿宋" w:eastAsia="仿宋" w:cs="仿宋"/>
                <w:color w:val="auto"/>
                <w:sz w:val="24"/>
                <w:szCs w:val="24"/>
                <w:highlight w:val="none"/>
              </w:rPr>
            </w:pPr>
          </w:p>
        </w:tc>
        <w:tc>
          <w:tcPr>
            <w:tcW w:w="1778" w:type="dxa"/>
          </w:tcPr>
          <w:p>
            <w:pPr>
              <w:pStyle w:val="31"/>
              <w:ind w:left="1080" w:leftChars="257" w:hanging="540"/>
              <w:rPr>
                <w:rFonts w:ascii="仿宋" w:hAnsi="仿宋" w:eastAsia="仿宋" w:cs="仿宋"/>
                <w:color w:val="auto"/>
                <w:sz w:val="24"/>
                <w:szCs w:val="24"/>
                <w:highlight w:val="none"/>
              </w:rPr>
            </w:pPr>
          </w:p>
        </w:tc>
        <w:tc>
          <w:tcPr>
            <w:tcW w:w="2205" w:type="dxa"/>
          </w:tcPr>
          <w:p>
            <w:pPr>
              <w:pStyle w:val="3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磋商文件不允许付款方式有偏差，供应商须完全响应。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3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748" w:type="dxa"/>
            <w:vAlign w:val="center"/>
          </w:tcPr>
          <w:p>
            <w:pPr>
              <w:spacing w:line="360" w:lineRule="auto"/>
              <w:jc w:val="center"/>
              <w:rPr>
                <w:rFonts w:ascii="仿宋" w:hAnsi="仿宋" w:eastAsia="仿宋" w:cs="仿宋"/>
                <w:bCs/>
                <w:color w:val="auto"/>
                <w:sz w:val="24"/>
                <w:highlight w:val="none"/>
              </w:rPr>
            </w:pPr>
            <w:r>
              <w:rPr>
                <w:rFonts w:hint="eastAsia" w:ascii="仿宋" w:hAnsi="仿宋" w:eastAsia="仿宋" w:cs="仿宋"/>
                <w:color w:val="auto"/>
                <w:sz w:val="24"/>
                <w:highlight w:val="none"/>
              </w:rPr>
              <w:t>…</w:t>
            </w:r>
          </w:p>
        </w:tc>
        <w:tc>
          <w:tcPr>
            <w:tcW w:w="1313" w:type="dxa"/>
          </w:tcPr>
          <w:p>
            <w:pPr>
              <w:pStyle w:val="31"/>
              <w:ind w:left="1080" w:leftChars="257" w:hanging="540"/>
              <w:rPr>
                <w:rFonts w:ascii="仿宋" w:hAnsi="仿宋" w:eastAsia="仿宋" w:cs="仿宋"/>
                <w:color w:val="auto"/>
                <w:sz w:val="24"/>
                <w:szCs w:val="24"/>
                <w:highlight w:val="none"/>
              </w:rPr>
            </w:pPr>
          </w:p>
        </w:tc>
        <w:tc>
          <w:tcPr>
            <w:tcW w:w="1489" w:type="dxa"/>
          </w:tcPr>
          <w:p>
            <w:pPr>
              <w:pStyle w:val="31"/>
              <w:ind w:left="1080" w:leftChars="257" w:hanging="540"/>
              <w:rPr>
                <w:rFonts w:ascii="仿宋" w:hAnsi="仿宋" w:eastAsia="仿宋" w:cs="仿宋"/>
                <w:color w:val="auto"/>
                <w:sz w:val="24"/>
                <w:szCs w:val="24"/>
                <w:highlight w:val="none"/>
              </w:rPr>
            </w:pPr>
          </w:p>
        </w:tc>
        <w:tc>
          <w:tcPr>
            <w:tcW w:w="1778" w:type="dxa"/>
          </w:tcPr>
          <w:p>
            <w:pPr>
              <w:pStyle w:val="31"/>
              <w:ind w:left="1080" w:leftChars="257" w:hanging="540"/>
              <w:rPr>
                <w:rFonts w:ascii="仿宋" w:hAnsi="仿宋" w:eastAsia="仿宋" w:cs="仿宋"/>
                <w:color w:val="auto"/>
                <w:sz w:val="24"/>
                <w:szCs w:val="24"/>
                <w:highlight w:val="none"/>
              </w:rPr>
            </w:pPr>
          </w:p>
        </w:tc>
        <w:tc>
          <w:tcPr>
            <w:tcW w:w="2205" w:type="dxa"/>
          </w:tcPr>
          <w:p>
            <w:pPr>
              <w:pStyle w:val="31"/>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ascii="仿宋" w:hAnsi="仿宋" w:eastAsia="仿宋" w:cs="仿宋"/>
                <w:color w:val="auto"/>
                <w:sz w:val="24"/>
                <w:szCs w:val="24"/>
                <w:highlight w:val="none"/>
              </w:rPr>
            </w:pPr>
          </w:p>
        </w:tc>
        <w:tc>
          <w:tcPr>
            <w:tcW w:w="2748" w:type="dxa"/>
            <w:vAlign w:val="center"/>
          </w:tcPr>
          <w:p>
            <w:pPr>
              <w:spacing w:line="360" w:lineRule="auto"/>
              <w:jc w:val="center"/>
              <w:rPr>
                <w:rFonts w:ascii="仿宋" w:hAnsi="仿宋" w:eastAsia="仿宋" w:cs="仿宋"/>
                <w:bCs/>
                <w:color w:val="auto"/>
                <w:sz w:val="24"/>
                <w:highlight w:val="none"/>
              </w:rPr>
            </w:pPr>
          </w:p>
        </w:tc>
        <w:tc>
          <w:tcPr>
            <w:tcW w:w="1313" w:type="dxa"/>
          </w:tcPr>
          <w:p>
            <w:pPr>
              <w:pStyle w:val="31"/>
              <w:ind w:left="1080" w:leftChars="257" w:hanging="540"/>
              <w:rPr>
                <w:rFonts w:ascii="仿宋" w:hAnsi="仿宋" w:eastAsia="仿宋" w:cs="仿宋"/>
                <w:color w:val="auto"/>
                <w:sz w:val="24"/>
                <w:szCs w:val="24"/>
                <w:highlight w:val="none"/>
              </w:rPr>
            </w:pPr>
          </w:p>
        </w:tc>
        <w:tc>
          <w:tcPr>
            <w:tcW w:w="1489" w:type="dxa"/>
          </w:tcPr>
          <w:p>
            <w:pPr>
              <w:pStyle w:val="31"/>
              <w:ind w:left="1080" w:leftChars="257" w:hanging="540"/>
              <w:rPr>
                <w:rFonts w:ascii="仿宋" w:hAnsi="仿宋" w:eastAsia="仿宋" w:cs="仿宋"/>
                <w:color w:val="auto"/>
                <w:sz w:val="24"/>
                <w:szCs w:val="24"/>
                <w:highlight w:val="none"/>
              </w:rPr>
            </w:pPr>
          </w:p>
        </w:tc>
        <w:tc>
          <w:tcPr>
            <w:tcW w:w="1778" w:type="dxa"/>
          </w:tcPr>
          <w:p>
            <w:pPr>
              <w:pStyle w:val="31"/>
              <w:ind w:left="1080" w:leftChars="257" w:hanging="540"/>
              <w:rPr>
                <w:rFonts w:ascii="仿宋" w:hAnsi="仿宋" w:eastAsia="仿宋" w:cs="仿宋"/>
                <w:color w:val="auto"/>
                <w:sz w:val="24"/>
                <w:szCs w:val="24"/>
                <w:highlight w:val="none"/>
              </w:rPr>
            </w:pPr>
          </w:p>
        </w:tc>
        <w:tc>
          <w:tcPr>
            <w:tcW w:w="2205" w:type="dxa"/>
          </w:tcPr>
          <w:p>
            <w:pPr>
              <w:pStyle w:val="31"/>
              <w:ind w:left="1080" w:leftChars="257" w:hanging="540"/>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ascii="仿宋" w:hAnsi="仿宋" w:eastAsia="仿宋" w:cs="仿宋"/>
                <w:color w:val="auto"/>
                <w:sz w:val="24"/>
                <w:szCs w:val="24"/>
                <w:highlight w:val="none"/>
              </w:rPr>
            </w:pPr>
          </w:p>
        </w:tc>
        <w:tc>
          <w:tcPr>
            <w:tcW w:w="2748" w:type="dxa"/>
            <w:vAlign w:val="center"/>
          </w:tcPr>
          <w:p>
            <w:pPr>
              <w:spacing w:line="360" w:lineRule="auto"/>
              <w:jc w:val="center"/>
              <w:rPr>
                <w:rFonts w:ascii="仿宋" w:hAnsi="仿宋" w:eastAsia="仿宋" w:cs="仿宋"/>
                <w:bCs/>
                <w:color w:val="auto"/>
                <w:sz w:val="24"/>
                <w:highlight w:val="none"/>
              </w:rPr>
            </w:pPr>
          </w:p>
        </w:tc>
        <w:tc>
          <w:tcPr>
            <w:tcW w:w="1313" w:type="dxa"/>
          </w:tcPr>
          <w:p>
            <w:pPr>
              <w:pStyle w:val="31"/>
              <w:ind w:left="1080" w:leftChars="257" w:hanging="540"/>
              <w:rPr>
                <w:rFonts w:ascii="仿宋" w:hAnsi="仿宋" w:eastAsia="仿宋" w:cs="仿宋"/>
                <w:color w:val="auto"/>
                <w:sz w:val="24"/>
                <w:szCs w:val="24"/>
                <w:highlight w:val="none"/>
              </w:rPr>
            </w:pPr>
          </w:p>
        </w:tc>
        <w:tc>
          <w:tcPr>
            <w:tcW w:w="1489" w:type="dxa"/>
          </w:tcPr>
          <w:p>
            <w:pPr>
              <w:pStyle w:val="31"/>
              <w:ind w:left="1080" w:leftChars="257" w:hanging="540"/>
              <w:rPr>
                <w:rFonts w:ascii="仿宋" w:hAnsi="仿宋" w:eastAsia="仿宋" w:cs="仿宋"/>
                <w:color w:val="auto"/>
                <w:sz w:val="24"/>
                <w:szCs w:val="24"/>
                <w:highlight w:val="none"/>
              </w:rPr>
            </w:pPr>
          </w:p>
        </w:tc>
        <w:tc>
          <w:tcPr>
            <w:tcW w:w="1778" w:type="dxa"/>
          </w:tcPr>
          <w:p>
            <w:pPr>
              <w:pStyle w:val="31"/>
              <w:ind w:left="1080" w:leftChars="257" w:hanging="540"/>
              <w:rPr>
                <w:rFonts w:ascii="仿宋" w:hAnsi="仿宋" w:eastAsia="仿宋" w:cs="仿宋"/>
                <w:color w:val="auto"/>
                <w:sz w:val="24"/>
                <w:szCs w:val="24"/>
                <w:highlight w:val="none"/>
              </w:rPr>
            </w:pPr>
          </w:p>
        </w:tc>
        <w:tc>
          <w:tcPr>
            <w:tcW w:w="2205" w:type="dxa"/>
          </w:tcPr>
          <w:p>
            <w:pPr>
              <w:pStyle w:val="31"/>
              <w:ind w:left="1080" w:leftChars="257" w:hanging="540"/>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ascii="仿宋" w:hAnsi="仿宋" w:eastAsia="仿宋" w:cs="仿宋"/>
                <w:color w:val="auto"/>
                <w:sz w:val="24"/>
                <w:szCs w:val="24"/>
                <w:highlight w:val="none"/>
              </w:rPr>
            </w:pPr>
          </w:p>
        </w:tc>
        <w:tc>
          <w:tcPr>
            <w:tcW w:w="2748" w:type="dxa"/>
          </w:tcPr>
          <w:p>
            <w:pPr>
              <w:pStyle w:val="31"/>
              <w:ind w:left="1080" w:leftChars="257" w:hanging="540"/>
              <w:rPr>
                <w:rFonts w:ascii="仿宋" w:hAnsi="仿宋" w:eastAsia="仿宋" w:cs="仿宋"/>
                <w:color w:val="auto"/>
                <w:sz w:val="24"/>
                <w:szCs w:val="24"/>
                <w:highlight w:val="none"/>
              </w:rPr>
            </w:pPr>
          </w:p>
        </w:tc>
        <w:tc>
          <w:tcPr>
            <w:tcW w:w="1313" w:type="dxa"/>
          </w:tcPr>
          <w:p>
            <w:pPr>
              <w:pStyle w:val="31"/>
              <w:ind w:left="1080" w:leftChars="257" w:hanging="540"/>
              <w:rPr>
                <w:rFonts w:ascii="仿宋" w:hAnsi="仿宋" w:eastAsia="仿宋" w:cs="仿宋"/>
                <w:color w:val="auto"/>
                <w:sz w:val="24"/>
                <w:szCs w:val="24"/>
                <w:highlight w:val="none"/>
              </w:rPr>
            </w:pPr>
          </w:p>
        </w:tc>
        <w:tc>
          <w:tcPr>
            <w:tcW w:w="1489" w:type="dxa"/>
          </w:tcPr>
          <w:p>
            <w:pPr>
              <w:pStyle w:val="31"/>
              <w:ind w:left="1080" w:leftChars="257" w:hanging="540"/>
              <w:rPr>
                <w:rFonts w:ascii="仿宋" w:hAnsi="仿宋" w:eastAsia="仿宋" w:cs="仿宋"/>
                <w:color w:val="auto"/>
                <w:sz w:val="24"/>
                <w:szCs w:val="24"/>
                <w:highlight w:val="none"/>
              </w:rPr>
            </w:pPr>
          </w:p>
        </w:tc>
        <w:tc>
          <w:tcPr>
            <w:tcW w:w="1778" w:type="dxa"/>
          </w:tcPr>
          <w:p>
            <w:pPr>
              <w:pStyle w:val="31"/>
              <w:ind w:left="1080" w:leftChars="257" w:hanging="540"/>
              <w:rPr>
                <w:rFonts w:ascii="仿宋" w:hAnsi="仿宋" w:eastAsia="仿宋" w:cs="仿宋"/>
                <w:color w:val="auto"/>
                <w:sz w:val="24"/>
                <w:szCs w:val="24"/>
                <w:highlight w:val="none"/>
              </w:rPr>
            </w:pPr>
          </w:p>
        </w:tc>
        <w:tc>
          <w:tcPr>
            <w:tcW w:w="2205" w:type="dxa"/>
          </w:tcPr>
          <w:p>
            <w:pPr>
              <w:pStyle w:val="31"/>
              <w:ind w:left="1080" w:leftChars="257" w:hanging="540"/>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ascii="仿宋" w:hAnsi="仿宋" w:eastAsia="仿宋" w:cs="仿宋"/>
                <w:color w:val="auto"/>
                <w:sz w:val="24"/>
                <w:szCs w:val="24"/>
                <w:highlight w:val="none"/>
              </w:rPr>
            </w:pPr>
          </w:p>
        </w:tc>
        <w:tc>
          <w:tcPr>
            <w:tcW w:w="2748" w:type="dxa"/>
          </w:tcPr>
          <w:p>
            <w:pPr>
              <w:pStyle w:val="31"/>
              <w:ind w:left="1080" w:leftChars="257" w:hanging="540"/>
              <w:rPr>
                <w:rFonts w:ascii="仿宋" w:hAnsi="仿宋" w:eastAsia="仿宋" w:cs="仿宋"/>
                <w:color w:val="auto"/>
                <w:sz w:val="24"/>
                <w:szCs w:val="24"/>
                <w:highlight w:val="none"/>
              </w:rPr>
            </w:pPr>
          </w:p>
        </w:tc>
        <w:tc>
          <w:tcPr>
            <w:tcW w:w="1313" w:type="dxa"/>
          </w:tcPr>
          <w:p>
            <w:pPr>
              <w:pStyle w:val="31"/>
              <w:ind w:left="1080" w:leftChars="257" w:hanging="540"/>
              <w:rPr>
                <w:rFonts w:ascii="仿宋" w:hAnsi="仿宋" w:eastAsia="仿宋" w:cs="仿宋"/>
                <w:color w:val="auto"/>
                <w:sz w:val="24"/>
                <w:szCs w:val="24"/>
                <w:highlight w:val="none"/>
              </w:rPr>
            </w:pPr>
          </w:p>
        </w:tc>
        <w:tc>
          <w:tcPr>
            <w:tcW w:w="1489" w:type="dxa"/>
          </w:tcPr>
          <w:p>
            <w:pPr>
              <w:pStyle w:val="31"/>
              <w:ind w:left="1080" w:leftChars="257" w:hanging="540"/>
              <w:rPr>
                <w:rFonts w:ascii="仿宋" w:hAnsi="仿宋" w:eastAsia="仿宋" w:cs="仿宋"/>
                <w:color w:val="auto"/>
                <w:sz w:val="24"/>
                <w:szCs w:val="24"/>
                <w:highlight w:val="none"/>
              </w:rPr>
            </w:pPr>
          </w:p>
        </w:tc>
        <w:tc>
          <w:tcPr>
            <w:tcW w:w="1778" w:type="dxa"/>
          </w:tcPr>
          <w:p>
            <w:pPr>
              <w:pStyle w:val="31"/>
              <w:ind w:left="1080" w:leftChars="257" w:hanging="540"/>
              <w:rPr>
                <w:rFonts w:ascii="仿宋" w:hAnsi="仿宋" w:eastAsia="仿宋" w:cs="仿宋"/>
                <w:color w:val="auto"/>
                <w:sz w:val="24"/>
                <w:szCs w:val="24"/>
                <w:highlight w:val="none"/>
              </w:rPr>
            </w:pPr>
          </w:p>
        </w:tc>
        <w:tc>
          <w:tcPr>
            <w:tcW w:w="2205" w:type="dxa"/>
          </w:tcPr>
          <w:p>
            <w:pPr>
              <w:pStyle w:val="31"/>
              <w:ind w:left="1080" w:leftChars="257" w:hanging="540"/>
              <w:rPr>
                <w:rFonts w:ascii="仿宋" w:hAnsi="仿宋" w:eastAsia="仿宋" w:cs="仿宋"/>
                <w:color w:val="auto"/>
                <w:sz w:val="24"/>
                <w:szCs w:val="24"/>
                <w:highlight w:val="none"/>
              </w:rPr>
            </w:pPr>
          </w:p>
        </w:tc>
      </w:tr>
    </w:tbl>
    <w:p>
      <w:pPr>
        <w:pStyle w:val="31"/>
        <w:ind w:left="1080" w:leftChars="257" w:hanging="540"/>
        <w:rPr>
          <w:rFonts w:ascii="仿宋" w:hAnsi="仿宋" w:eastAsia="仿宋" w:cs="仿宋"/>
          <w:color w:val="auto"/>
          <w:sz w:val="24"/>
          <w:szCs w:val="24"/>
          <w:highlight w:val="none"/>
        </w:rPr>
      </w:pPr>
    </w:p>
    <w:p>
      <w:pPr>
        <w:spacing w:before="120" w:after="120"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供应商（公章）：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法定代表人（或单位负责人）或其授权代表（签字或盖章）：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4320" w:firstLineChars="1800"/>
        <w:rPr>
          <w:rFonts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napToGrid w:val="0"/>
        <w:spacing w:after="120" w:afterLines="50"/>
        <w:rPr>
          <w:rFonts w:ascii="仿宋" w:hAnsi="仿宋" w:eastAsia="仿宋" w:cs="仿宋"/>
          <w:color w:val="auto"/>
          <w:highlight w:val="none"/>
        </w:rPr>
      </w:pPr>
      <w:r>
        <w:rPr>
          <w:rFonts w:hint="eastAsia" w:ascii="仿宋" w:hAnsi="仿宋" w:eastAsia="仿宋" w:cs="仿宋"/>
          <w:color w:val="auto"/>
          <w:sz w:val="24"/>
          <w:highlight w:val="none"/>
        </w:rPr>
        <w:t>注：</w:t>
      </w:r>
      <w:r>
        <w:rPr>
          <w:rFonts w:hint="eastAsia" w:ascii="仿宋" w:hAnsi="仿宋" w:eastAsia="仿宋" w:cs="仿宋"/>
          <w:color w:val="auto"/>
          <w:highlight w:val="none"/>
        </w:rPr>
        <w:t>1、对完全响应的，在本表相应列中标注“完全响应”。对有偏离的，在本表相应列中标注“正偏离”或“负偏离”，并在“偏离简述”栏中加以说明。</w:t>
      </w:r>
    </w:p>
    <w:p>
      <w:pPr>
        <w:snapToGrid w:val="0"/>
        <w:spacing w:after="120" w:afterLines="50"/>
        <w:rPr>
          <w:rFonts w:ascii="仿宋" w:hAnsi="仿宋" w:eastAsia="仿宋" w:cs="仿宋"/>
          <w:color w:val="auto"/>
          <w:highlight w:val="none"/>
        </w:rPr>
      </w:pPr>
      <w:r>
        <w:rPr>
          <w:rFonts w:hint="eastAsia" w:ascii="仿宋" w:hAnsi="仿宋" w:eastAsia="仿宋" w:cs="仿宋"/>
          <w:color w:val="auto"/>
          <w:highlight w:val="none"/>
        </w:rPr>
        <w:t>2、正偏离是指应答的条件高于磋商文件要求，负偏离是指应答的条件低于磋商文件要求，正偏离项目不作扣分处理。</w:t>
      </w:r>
    </w:p>
    <w:p>
      <w:pPr>
        <w:snapToGrid w:val="0"/>
        <w:spacing w:after="120" w:afterLines="50"/>
        <w:rPr>
          <w:rFonts w:ascii="仿宋" w:hAnsi="仿宋" w:eastAsia="仿宋" w:cs="仿宋"/>
          <w:color w:val="auto"/>
          <w:highlight w:val="none"/>
        </w:rPr>
      </w:pPr>
      <w:r>
        <w:rPr>
          <w:rFonts w:hint="eastAsia" w:ascii="仿宋" w:hAnsi="仿宋" w:eastAsia="仿宋" w:cs="仿宋"/>
          <w:color w:val="auto"/>
          <w:highlight w:val="none"/>
        </w:rPr>
        <w:t>3、供应商须完整填写响应表。如果未完整填写本表的各项内容则视作供应商已经对磋商文件相关要求和内容完全理解并同意，其报价为在此基础上的完全价格。</w:t>
      </w:r>
    </w:p>
    <w:p>
      <w:pPr>
        <w:snapToGrid w:val="0"/>
        <w:spacing w:after="120" w:afterLines="50"/>
        <w:rPr>
          <w:rFonts w:ascii="仿宋" w:hAnsi="仿宋" w:eastAsia="仿宋" w:cs="仿宋"/>
          <w:color w:val="auto"/>
          <w:highlight w:val="none"/>
        </w:rPr>
      </w:pPr>
      <w:r>
        <w:rPr>
          <w:rFonts w:hint="eastAsia" w:ascii="仿宋" w:hAnsi="仿宋" w:eastAsia="仿宋" w:cs="仿宋"/>
          <w:color w:val="auto"/>
          <w:highlight w:val="none"/>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31"/>
        <w:ind w:left="1080" w:leftChars="257" w:hanging="540"/>
        <w:rPr>
          <w:rFonts w:ascii="仿宋" w:hAnsi="仿宋" w:eastAsia="仿宋" w:cs="仿宋"/>
          <w:color w:val="auto"/>
          <w:sz w:val="24"/>
          <w:szCs w:val="24"/>
          <w:highlight w:val="none"/>
        </w:rPr>
      </w:pPr>
    </w:p>
    <w:p>
      <w:pPr>
        <w:rPr>
          <w:rFonts w:ascii="仿宋" w:hAnsi="仿宋" w:eastAsia="仿宋" w:cs="仿宋"/>
          <w:b/>
          <w:bCs/>
          <w:color w:val="auto"/>
          <w:sz w:val="28"/>
          <w:szCs w:val="36"/>
          <w:highlight w:val="none"/>
        </w:rPr>
      </w:pPr>
      <w:bookmarkStart w:id="533" w:name="_Toc414445775"/>
      <w:bookmarkStart w:id="534" w:name="_Toc416103825"/>
      <w:bookmarkStart w:id="535" w:name="_Toc7005136"/>
      <w:bookmarkStart w:id="536" w:name="_Toc410631184"/>
      <w:r>
        <w:rPr>
          <w:rFonts w:hint="eastAsia" w:ascii="仿宋" w:hAnsi="仿宋" w:eastAsia="仿宋" w:cs="仿宋"/>
          <w:b/>
          <w:bCs/>
          <w:color w:val="auto"/>
          <w:sz w:val="28"/>
          <w:szCs w:val="36"/>
          <w:highlight w:val="none"/>
        </w:rPr>
        <w:br w:type="page"/>
      </w:r>
    </w:p>
    <w:p>
      <w:pPr>
        <w:pStyle w:val="6"/>
        <w:jc w:val="center"/>
        <w:rPr>
          <w:rFonts w:ascii="仿宋" w:hAnsi="仿宋" w:eastAsia="仿宋" w:cs="仿宋"/>
          <w:color w:val="auto"/>
          <w:highlight w:val="none"/>
        </w:rPr>
      </w:pPr>
      <w:r>
        <w:rPr>
          <w:rFonts w:hint="eastAsia" w:ascii="仿宋" w:hAnsi="仿宋" w:eastAsia="仿宋" w:cs="仿宋"/>
          <w:b/>
          <w:bCs/>
          <w:color w:val="auto"/>
          <w:sz w:val="28"/>
          <w:szCs w:val="36"/>
          <w:highlight w:val="none"/>
        </w:rPr>
        <w:t>二、技术偏离表</w:t>
      </w:r>
      <w:bookmarkEnd w:id="533"/>
      <w:bookmarkEnd w:id="534"/>
      <w:bookmarkEnd w:id="535"/>
      <w:bookmarkEnd w:id="536"/>
    </w:p>
    <w:p>
      <w:pPr>
        <w:pStyle w:val="25"/>
        <w:rPr>
          <w:rFonts w:ascii="仿宋" w:hAnsi="仿宋" w:eastAsia="仿宋" w:cs="仿宋"/>
          <w:color w:val="auto"/>
          <w:sz w:val="24"/>
          <w:highlight w:val="none"/>
          <w:u w:val="single"/>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SCZC2023-CS-1763-001</w:t>
      </w:r>
      <w:r>
        <w:rPr>
          <w:rFonts w:hint="eastAsia" w:ascii="仿宋" w:hAnsi="仿宋" w:eastAsia="仿宋" w:cs="仿宋"/>
          <w:color w:val="auto"/>
          <w:sz w:val="24"/>
          <w:highlight w:val="none"/>
          <w:u w:val="single"/>
        </w:rPr>
        <w:t xml:space="preserve">              </w:t>
      </w:r>
    </w:p>
    <w:p>
      <w:pPr>
        <w:pStyle w:val="25"/>
        <w:rPr>
          <w:rFonts w:hint="eastAsia" w:ascii="仿宋" w:hAnsi="仿宋" w:eastAsia="仿宋" w:cs="仿宋"/>
          <w:color w:val="auto"/>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西安浐灞生态区绿地生态城2期东区1#别墅、围墙及白龙池路安全性检测鉴定项目</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磋商文件条目号</w:t>
            </w:r>
          </w:p>
        </w:tc>
        <w:tc>
          <w:tcPr>
            <w:tcW w:w="1932" w:type="dxa"/>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技术条款要求</w:t>
            </w:r>
          </w:p>
        </w:tc>
        <w:tc>
          <w:tcPr>
            <w:tcW w:w="1236" w:type="dxa"/>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完全响应</w:t>
            </w:r>
          </w:p>
        </w:tc>
        <w:tc>
          <w:tcPr>
            <w:tcW w:w="1236" w:type="dxa"/>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有偏离</w:t>
            </w:r>
          </w:p>
        </w:tc>
        <w:tc>
          <w:tcPr>
            <w:tcW w:w="2394" w:type="dxa"/>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 w:hAnsi="仿宋" w:eastAsia="仿宋" w:cs="仿宋"/>
                <w:color w:val="auto"/>
                <w:sz w:val="24"/>
                <w:highlight w:val="none"/>
              </w:rPr>
            </w:pPr>
          </w:p>
        </w:tc>
        <w:tc>
          <w:tcPr>
            <w:tcW w:w="1932" w:type="dxa"/>
          </w:tcPr>
          <w:p>
            <w:pPr>
              <w:spacing w:line="400" w:lineRule="exact"/>
              <w:rPr>
                <w:rFonts w:ascii="仿宋" w:hAnsi="仿宋" w:eastAsia="仿宋" w:cs="仿宋"/>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2394" w:type="dxa"/>
          </w:tcPr>
          <w:p>
            <w:pPr>
              <w:spacing w:line="400" w:lineRule="exact"/>
              <w:rPr>
                <w:rFonts w:ascii="仿宋" w:hAnsi="仿宋" w:eastAsia="仿宋" w:cs="仿宋"/>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 w:hAnsi="仿宋" w:eastAsia="仿宋" w:cs="仿宋"/>
                <w:color w:val="auto"/>
                <w:sz w:val="24"/>
                <w:highlight w:val="none"/>
              </w:rPr>
            </w:pPr>
          </w:p>
        </w:tc>
        <w:tc>
          <w:tcPr>
            <w:tcW w:w="1932" w:type="dxa"/>
          </w:tcPr>
          <w:p>
            <w:pPr>
              <w:spacing w:line="400" w:lineRule="exact"/>
              <w:rPr>
                <w:rFonts w:ascii="仿宋" w:hAnsi="仿宋" w:eastAsia="仿宋" w:cs="仿宋"/>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2394" w:type="dxa"/>
          </w:tcPr>
          <w:p>
            <w:pPr>
              <w:spacing w:line="400" w:lineRule="exact"/>
              <w:rPr>
                <w:rFonts w:ascii="仿宋" w:hAnsi="仿宋" w:eastAsia="仿宋" w:cs="仿宋"/>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 w:hAnsi="仿宋" w:eastAsia="仿宋" w:cs="仿宋"/>
                <w:color w:val="auto"/>
                <w:sz w:val="24"/>
                <w:highlight w:val="none"/>
              </w:rPr>
            </w:pPr>
          </w:p>
        </w:tc>
        <w:tc>
          <w:tcPr>
            <w:tcW w:w="1932" w:type="dxa"/>
          </w:tcPr>
          <w:p>
            <w:pPr>
              <w:spacing w:line="400" w:lineRule="exact"/>
              <w:rPr>
                <w:rFonts w:ascii="仿宋" w:hAnsi="仿宋" w:eastAsia="仿宋" w:cs="仿宋"/>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2394" w:type="dxa"/>
          </w:tcPr>
          <w:p>
            <w:pPr>
              <w:spacing w:line="400" w:lineRule="exact"/>
              <w:rPr>
                <w:rFonts w:ascii="仿宋" w:hAnsi="仿宋" w:eastAsia="仿宋" w:cs="仿宋"/>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 w:hAnsi="仿宋" w:eastAsia="仿宋" w:cs="仿宋"/>
                <w:color w:val="auto"/>
                <w:sz w:val="24"/>
                <w:highlight w:val="none"/>
              </w:rPr>
            </w:pPr>
          </w:p>
        </w:tc>
        <w:tc>
          <w:tcPr>
            <w:tcW w:w="1932" w:type="dxa"/>
          </w:tcPr>
          <w:p>
            <w:pPr>
              <w:spacing w:line="400" w:lineRule="exact"/>
              <w:rPr>
                <w:rFonts w:ascii="仿宋" w:hAnsi="仿宋" w:eastAsia="仿宋" w:cs="仿宋"/>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2394" w:type="dxa"/>
          </w:tcPr>
          <w:p>
            <w:pPr>
              <w:spacing w:line="400" w:lineRule="exact"/>
              <w:rPr>
                <w:rFonts w:ascii="仿宋" w:hAnsi="仿宋" w:eastAsia="仿宋" w:cs="仿宋"/>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 w:hAnsi="仿宋" w:eastAsia="仿宋" w:cs="仿宋"/>
                <w:color w:val="auto"/>
                <w:sz w:val="24"/>
                <w:highlight w:val="none"/>
              </w:rPr>
            </w:pPr>
          </w:p>
        </w:tc>
        <w:tc>
          <w:tcPr>
            <w:tcW w:w="1932" w:type="dxa"/>
          </w:tcPr>
          <w:p>
            <w:pPr>
              <w:spacing w:line="400" w:lineRule="exact"/>
              <w:rPr>
                <w:rFonts w:ascii="仿宋" w:hAnsi="仿宋" w:eastAsia="仿宋" w:cs="仿宋"/>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2394" w:type="dxa"/>
          </w:tcPr>
          <w:p>
            <w:pPr>
              <w:spacing w:line="400" w:lineRule="exact"/>
              <w:rPr>
                <w:rFonts w:ascii="仿宋" w:hAnsi="仿宋" w:eastAsia="仿宋" w:cs="仿宋"/>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 w:hAnsi="仿宋" w:eastAsia="仿宋" w:cs="仿宋"/>
                <w:color w:val="auto"/>
                <w:sz w:val="24"/>
                <w:highlight w:val="none"/>
              </w:rPr>
            </w:pPr>
          </w:p>
        </w:tc>
        <w:tc>
          <w:tcPr>
            <w:tcW w:w="1932" w:type="dxa"/>
          </w:tcPr>
          <w:p>
            <w:pPr>
              <w:spacing w:line="400" w:lineRule="exact"/>
              <w:rPr>
                <w:rFonts w:ascii="仿宋" w:hAnsi="仿宋" w:eastAsia="仿宋" w:cs="仿宋"/>
                <w:bCs/>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2394" w:type="dxa"/>
          </w:tcPr>
          <w:p>
            <w:pPr>
              <w:spacing w:line="400" w:lineRule="exact"/>
              <w:rPr>
                <w:rFonts w:ascii="仿宋" w:hAnsi="仿宋" w:eastAsia="仿宋" w:cs="仿宋"/>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 w:hAnsi="仿宋" w:eastAsia="仿宋" w:cs="仿宋"/>
                <w:color w:val="auto"/>
                <w:sz w:val="24"/>
                <w:highlight w:val="none"/>
              </w:rPr>
            </w:pPr>
          </w:p>
        </w:tc>
        <w:tc>
          <w:tcPr>
            <w:tcW w:w="1932" w:type="dxa"/>
          </w:tcPr>
          <w:p>
            <w:pPr>
              <w:spacing w:line="400" w:lineRule="exact"/>
              <w:rPr>
                <w:rFonts w:ascii="仿宋" w:hAnsi="仿宋" w:eastAsia="仿宋" w:cs="仿宋"/>
                <w:bCs/>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1236" w:type="dxa"/>
          </w:tcPr>
          <w:p>
            <w:pPr>
              <w:spacing w:line="400" w:lineRule="exact"/>
              <w:rPr>
                <w:rFonts w:ascii="仿宋" w:hAnsi="仿宋" w:eastAsia="仿宋" w:cs="仿宋"/>
                <w:color w:val="auto"/>
                <w:sz w:val="24"/>
                <w:highlight w:val="none"/>
              </w:rPr>
            </w:pPr>
          </w:p>
        </w:tc>
        <w:tc>
          <w:tcPr>
            <w:tcW w:w="2394" w:type="dxa"/>
          </w:tcPr>
          <w:p>
            <w:pPr>
              <w:spacing w:line="400" w:lineRule="exact"/>
              <w:rPr>
                <w:rFonts w:ascii="仿宋" w:hAnsi="仿宋" w:eastAsia="仿宋" w:cs="仿宋"/>
                <w:color w:val="auto"/>
                <w:sz w:val="24"/>
                <w:highlight w:val="none"/>
              </w:rPr>
            </w:pPr>
          </w:p>
        </w:tc>
      </w:tr>
    </w:tbl>
    <w:p>
      <w:pPr>
        <w:spacing w:before="120" w:after="12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供应商（公章）： </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法定代表人（或单位负责人）或其授权代表（签字或盖章）：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rPr>
          <w:rFonts w:ascii="仿宋" w:hAnsi="仿宋" w:eastAsia="仿宋" w:cs="仿宋"/>
          <w:color w:val="auto"/>
          <w:highlight w:val="none"/>
        </w:rPr>
      </w:pPr>
    </w:p>
    <w:p>
      <w:pPr>
        <w:snapToGrid w:val="0"/>
        <w:spacing w:after="120" w:afterLines="50"/>
        <w:ind w:left="850" w:hanging="850" w:hangingChars="405"/>
        <w:rPr>
          <w:rFonts w:ascii="仿宋" w:hAnsi="仿宋" w:eastAsia="仿宋" w:cs="仿宋"/>
          <w:color w:val="auto"/>
          <w:highlight w:val="none"/>
        </w:rPr>
      </w:pPr>
      <w:r>
        <w:rPr>
          <w:rFonts w:hint="eastAsia" w:ascii="仿宋" w:hAnsi="仿宋" w:eastAsia="仿宋" w:cs="仿宋"/>
          <w:color w:val="auto"/>
          <w:highlight w:val="none"/>
        </w:rPr>
        <w:t>注：1.</w:t>
      </w:r>
      <w:r>
        <w:rPr>
          <w:rFonts w:hint="eastAsia" w:ascii="仿宋" w:hAnsi="仿宋" w:eastAsia="仿宋" w:cs="仿宋"/>
          <w:color w:val="auto"/>
          <w:highlight w:val="none"/>
        </w:rPr>
        <w:tab/>
      </w:r>
      <w:r>
        <w:rPr>
          <w:rFonts w:hint="eastAsia" w:ascii="仿宋" w:hAnsi="仿宋" w:eastAsia="仿宋" w:cs="仿宋"/>
          <w:color w:val="auto"/>
          <w:highlight w:val="none"/>
        </w:rPr>
        <w:t>对完全响应的，在本表相应列中标注“完全响应”。对有偏离的，在本表相应列中标注“正偏离”或“负偏离”。并在“偏离简述”栏中加以说明。</w:t>
      </w:r>
    </w:p>
    <w:p>
      <w:pPr>
        <w:tabs>
          <w:tab w:val="left" w:pos="1200"/>
        </w:tabs>
        <w:snapToGrid w:val="0"/>
        <w:spacing w:after="120" w:afterLines="50"/>
        <w:ind w:left="850" w:leftChars="203" w:hanging="424" w:hangingChars="202"/>
        <w:rPr>
          <w:rFonts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rPr>
        <w:tab/>
      </w:r>
      <w:r>
        <w:rPr>
          <w:rFonts w:hint="eastAsia" w:ascii="仿宋" w:hAnsi="仿宋" w:eastAsia="仿宋" w:cs="仿宋"/>
          <w:color w:val="auto"/>
          <w:highlight w:val="none"/>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ascii="仿宋" w:hAnsi="仿宋" w:eastAsia="仿宋" w:cs="仿宋"/>
          <w:color w:val="auto"/>
          <w:highlight w:val="none"/>
        </w:rPr>
      </w:pPr>
      <w:r>
        <w:rPr>
          <w:rFonts w:hint="eastAsia" w:ascii="仿宋" w:hAnsi="仿宋" w:eastAsia="仿宋" w:cs="仿宋"/>
          <w:color w:val="auto"/>
          <w:highlight w:val="none"/>
        </w:rPr>
        <w:t>3</w:t>
      </w:r>
      <w:r>
        <w:rPr>
          <w:rFonts w:hint="eastAsia" w:ascii="仿宋" w:hAnsi="仿宋" w:eastAsia="仿宋" w:cs="仿宋"/>
          <w:color w:val="auto"/>
          <w:highlight w:val="none"/>
        </w:rPr>
        <w:tab/>
      </w:r>
      <w:r>
        <w:rPr>
          <w:rFonts w:hint="eastAsia" w:ascii="仿宋" w:hAnsi="仿宋" w:eastAsia="仿宋" w:cs="仿宋"/>
          <w:color w:val="auto"/>
          <w:highlight w:val="none"/>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ascii="仿宋" w:hAnsi="仿宋" w:eastAsia="仿宋" w:cs="仿宋"/>
          <w:b/>
          <w:color w:val="auto"/>
          <w:sz w:val="32"/>
          <w:szCs w:val="32"/>
          <w:highlight w:val="none"/>
        </w:rPr>
      </w:pPr>
      <w:r>
        <w:rPr>
          <w:rFonts w:hint="eastAsia" w:ascii="仿宋" w:hAnsi="仿宋" w:eastAsia="仿宋" w:cs="仿宋"/>
          <w:color w:val="auto"/>
          <w:highlight w:val="none"/>
        </w:rPr>
        <w:t>4</w:t>
      </w:r>
      <w:r>
        <w:rPr>
          <w:rFonts w:hint="eastAsia" w:ascii="仿宋" w:hAnsi="仿宋" w:eastAsia="仿宋" w:cs="仿宋"/>
          <w:color w:val="auto"/>
          <w:highlight w:val="none"/>
        </w:rPr>
        <w:tab/>
      </w:r>
      <w:r>
        <w:rPr>
          <w:rFonts w:hint="eastAsia" w:ascii="仿宋" w:hAnsi="仿宋" w:eastAsia="仿宋" w:cs="仿宋"/>
          <w:color w:val="auto"/>
          <w:highlight w:val="none"/>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ascii="仿宋" w:hAnsi="仿宋" w:eastAsia="仿宋" w:cs="仿宋"/>
          <w:b/>
          <w:bCs/>
          <w:color w:val="auto"/>
          <w:sz w:val="24"/>
          <w:highlight w:val="none"/>
        </w:rPr>
      </w:pPr>
      <w:r>
        <w:rPr>
          <w:rFonts w:hint="eastAsia" w:ascii="仿宋" w:hAnsi="仿宋" w:eastAsia="仿宋" w:cs="仿宋"/>
          <w:color w:val="auto"/>
          <w:highlight w:val="none"/>
        </w:rPr>
        <w:br w:type="page"/>
      </w:r>
    </w:p>
    <w:p>
      <w:pPr>
        <w:pStyle w:val="5"/>
        <w:jc w:val="center"/>
        <w:rPr>
          <w:rFonts w:ascii="仿宋" w:hAnsi="仿宋" w:eastAsia="仿宋" w:cs="仿宋"/>
          <w:b/>
          <w:bCs/>
          <w:color w:val="auto"/>
          <w:highlight w:val="none"/>
        </w:rPr>
      </w:pPr>
      <w:bookmarkStart w:id="537" w:name="_Toc31375"/>
      <w:r>
        <w:rPr>
          <w:rFonts w:hint="eastAsia" w:ascii="仿宋" w:hAnsi="仿宋" w:eastAsia="仿宋" w:cs="仿宋"/>
          <w:b/>
          <w:bCs/>
          <w:color w:val="auto"/>
          <w:highlight w:val="none"/>
        </w:rPr>
        <w:t>第四部分  响应方案说明</w:t>
      </w:r>
      <w:bookmarkEnd w:id="537"/>
    </w:p>
    <w:p>
      <w:pPr>
        <w:pStyle w:val="25"/>
        <w:rPr>
          <w:rFonts w:ascii="仿宋" w:hAnsi="仿宋" w:eastAsia="仿宋" w:cs="仿宋"/>
          <w:color w:val="auto"/>
          <w:highlight w:val="none"/>
          <w:lang w:val="zh-CN"/>
        </w:rPr>
      </w:pPr>
    </w:p>
    <w:p>
      <w:pPr>
        <w:autoSpaceDE w:val="0"/>
        <w:autoSpaceDN w:val="0"/>
        <w:adjustRightInd w:val="0"/>
        <w:spacing w:line="360" w:lineRule="auto"/>
        <w:jc w:val="center"/>
        <w:rPr>
          <w:rFonts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（格式自拟，内容需符合评审办法中要求的内容要求）</w:t>
      </w:r>
    </w:p>
    <w:p>
      <w:pPr>
        <w:pStyle w:val="25"/>
        <w:rPr>
          <w:rFonts w:ascii="仿宋" w:hAnsi="仿宋" w:eastAsia="仿宋" w:cs="仿宋"/>
          <w:color w:val="auto"/>
          <w:highlight w:val="none"/>
          <w:lang w:val="zh-CN"/>
        </w:rPr>
      </w:pPr>
      <w:r>
        <w:rPr>
          <w:rFonts w:hint="eastAsia" w:ascii="仿宋" w:hAnsi="仿宋" w:eastAsia="仿宋" w:cs="仿宋"/>
          <w:color w:val="auto"/>
          <w:highlight w:val="none"/>
          <w:lang w:val="zh-CN"/>
        </w:rPr>
        <w:br w:type="page"/>
      </w:r>
    </w:p>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Pr>
        <w:pStyle w:val="5"/>
        <w:jc w:val="center"/>
        <w:rPr>
          <w:rFonts w:ascii="仿宋" w:hAnsi="仿宋" w:eastAsia="仿宋" w:cs="仿宋"/>
          <w:b/>
          <w:bCs/>
          <w:color w:val="auto"/>
          <w:highlight w:val="none"/>
        </w:rPr>
      </w:pPr>
      <w:bookmarkStart w:id="538" w:name="_Toc20556"/>
      <w:r>
        <w:rPr>
          <w:rFonts w:hint="eastAsia" w:ascii="仿宋" w:hAnsi="仿宋" w:eastAsia="仿宋" w:cs="仿宋"/>
          <w:b/>
          <w:bCs/>
          <w:color w:val="auto"/>
          <w:highlight w:val="none"/>
        </w:rPr>
        <w:t>第五部分  响应承诺书</w:t>
      </w:r>
      <w:bookmarkEnd w:id="538"/>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陕西省采购招标有限责任公司：</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我方在此声明，我方以下事项进行承诺：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 在本次磋商中我公司无与其他供应商相互串通，或与采购人串通的行为；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 在本次磋商中我公司无向采购人或磋商小组成员行贿的手段谋取成交的行为；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 在本次磋商中我公司无出借或借用资质行为、在响应文件中所附资料（业绩、项目负责人资料等）无弄虚作假；</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 我公司没有处于被责令停产、停业、投标资格被取消状态；</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（5）我公司不采用非法手段获取证据进行质疑、投诉，在质疑、投诉过程中不提供虚假情况或进行恶意质疑、投诉。</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上述承诺内容如有不实，我公司愿意承担由此造成的一切法律责任，并承诺以磋商保证金赔偿给采购人造成的损失。</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特此承诺。</w:t>
      </w:r>
    </w:p>
    <w:p>
      <w:pPr>
        <w:spacing w:line="360" w:lineRule="auto"/>
        <w:ind w:firstLine="480" w:firstLineChars="200"/>
        <w:rPr>
          <w:rFonts w:ascii="仿宋" w:hAnsi="仿宋" w:eastAsia="仿宋" w:cs="仿宋"/>
          <w:color w:val="auto"/>
          <w:sz w:val="24"/>
          <w:highlight w:val="none"/>
        </w:rPr>
      </w:pPr>
    </w:p>
    <w:p>
      <w:pPr>
        <w:spacing w:before="120" w:after="12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供应商名称（公章）： </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法定代表人（或单位负责人）或其授权代表（签字或盖章）：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pStyle w:val="25"/>
        <w:rPr>
          <w:rFonts w:ascii="仿宋" w:hAnsi="仿宋" w:eastAsia="仿宋" w:cs="仿宋"/>
          <w:color w:val="auto"/>
          <w:highlight w:val="none"/>
        </w:rPr>
      </w:pPr>
      <w:r>
        <w:rPr>
          <w:rFonts w:hint="eastAsia" w:ascii="仿宋" w:hAnsi="仿宋" w:eastAsia="仿宋" w:cs="仿宋"/>
          <w:color w:val="auto"/>
          <w:highlight w:val="none"/>
        </w:rPr>
        <w:br w:type="page"/>
      </w:r>
    </w:p>
    <w:p>
      <w:pPr>
        <w:pStyle w:val="6"/>
        <w:rPr>
          <w:rFonts w:ascii="仿宋" w:hAnsi="仿宋" w:eastAsia="仿宋" w:cs="仿宋"/>
          <w:b/>
          <w:bCs/>
          <w:color w:val="auto"/>
          <w:sz w:val="28"/>
          <w:szCs w:val="36"/>
          <w:highlight w:val="none"/>
          <w:lang w:val="zh-CN"/>
        </w:rPr>
      </w:pPr>
      <w:r>
        <w:rPr>
          <w:rFonts w:hint="eastAsia" w:ascii="仿宋" w:hAnsi="仿宋" w:eastAsia="仿宋" w:cs="仿宋"/>
          <w:b/>
          <w:bCs/>
          <w:color w:val="auto"/>
          <w:sz w:val="28"/>
          <w:szCs w:val="36"/>
          <w:highlight w:val="none"/>
          <w:lang w:val="zh-CN"/>
        </w:rPr>
        <w:t>附件</w:t>
      </w:r>
    </w:p>
    <w:p>
      <w:pPr>
        <w:pStyle w:val="6"/>
        <w:jc w:val="center"/>
        <w:rPr>
          <w:rFonts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t xml:space="preserve"> （最后）磋商响应报价表</w:t>
      </w:r>
    </w:p>
    <w:p>
      <w:pPr>
        <w:spacing w:after="120"/>
        <w:rPr>
          <w:rFonts w:ascii="仿宋" w:hAnsi="仿宋" w:eastAsia="仿宋" w:cs="仿宋"/>
          <w:color w:val="auto"/>
          <w:highlight w:val="none"/>
          <w:lang w:val="zh-CN"/>
        </w:rPr>
      </w:pP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（随身携带，单独提供，无需装订在响应文件中）</w:t>
      </w:r>
    </w:p>
    <w:p>
      <w:pPr>
        <w:pStyle w:val="25"/>
        <w:rPr>
          <w:rFonts w:ascii="仿宋" w:hAnsi="仿宋" w:eastAsia="仿宋" w:cs="仿宋"/>
          <w:color w:val="auto"/>
          <w:highlight w:val="none"/>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jc w:val="center"/>
              <w:rPr>
                <w:rFonts w:ascii="仿宋" w:hAnsi="仿宋" w:eastAsia="仿宋" w:cs="仿宋"/>
                <w:b/>
                <w:color w:val="auto"/>
                <w:sz w:val="24"/>
                <w:highlight w:val="none"/>
              </w:rPr>
            </w:pPr>
            <w:r>
              <w:rPr>
                <w:rFonts w:hint="eastAsia" w:ascii="仿宋" w:hAnsi="仿宋" w:eastAsia="仿宋" w:cs="仿宋"/>
                <w:color w:val="auto"/>
                <w:sz w:val="24"/>
                <w:highlight w:val="none"/>
                <w:lang w:val="zh-CN"/>
              </w:rPr>
              <w:br w:type="page"/>
            </w:r>
            <w:r>
              <w:rPr>
                <w:rFonts w:hint="eastAsia" w:ascii="仿宋" w:hAnsi="仿宋" w:eastAsia="仿宋" w:cs="仿宋"/>
                <w:b/>
                <w:color w:val="auto"/>
                <w:sz w:val="24"/>
                <w:highlight w:val="none"/>
              </w:rPr>
              <w:t>项目编号及名称</w:t>
            </w:r>
          </w:p>
        </w:tc>
        <w:tc>
          <w:tcPr>
            <w:tcW w:w="6981" w:type="dxa"/>
            <w:vAlign w:val="center"/>
          </w:tcPr>
          <w:p>
            <w:pPr>
              <w:spacing w:after="120"/>
              <w:rPr>
                <w:rFonts w:ascii="仿宋" w:hAnsi="仿宋" w:eastAsia="仿宋" w:cs="仿宋"/>
                <w:color w:val="auto"/>
                <w:sz w:val="24"/>
                <w:highlight w:val="none"/>
                <w:u w:val="single"/>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val="zh-CN"/>
              </w:rPr>
              <w:t>SCZC2023-CS-1763-001</w:t>
            </w:r>
            <w:r>
              <w:rPr>
                <w:rFonts w:hint="eastAsia" w:ascii="仿宋" w:hAnsi="仿宋" w:eastAsia="仿宋" w:cs="仿宋"/>
                <w:color w:val="auto"/>
                <w:sz w:val="24"/>
                <w:highlight w:val="none"/>
                <w:u w:val="single"/>
              </w:rPr>
              <w:t xml:space="preserve">              </w:t>
            </w:r>
          </w:p>
          <w:p>
            <w:pPr>
              <w:spacing w:after="120"/>
              <w:rPr>
                <w:rFonts w:ascii="仿宋" w:hAnsi="仿宋" w:eastAsia="仿宋" w:cs="仿宋"/>
                <w:color w:val="auto"/>
                <w:sz w:val="24"/>
                <w:highlight w:val="none"/>
                <w:u w:val="singl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西安浐灞生态区绿地生态城2期东区1#别墅、围墙及白龙池路安全性检测鉴定项目</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响应总报价</w:t>
            </w:r>
          </w:p>
        </w:tc>
        <w:tc>
          <w:tcPr>
            <w:tcW w:w="6981" w:type="dxa"/>
            <w:vAlign w:val="center"/>
          </w:tcPr>
          <w:p>
            <w:pPr>
              <w:spacing w:after="120"/>
              <w:rPr>
                <w:rFonts w:ascii="仿宋" w:hAnsi="仿宋" w:eastAsia="仿宋" w:cs="仿宋"/>
                <w:color w:val="auto"/>
                <w:sz w:val="24"/>
                <w:highlight w:val="none"/>
              </w:rPr>
            </w:pPr>
            <w:r>
              <w:rPr>
                <w:rFonts w:hint="eastAsia" w:ascii="仿宋" w:hAnsi="仿宋" w:eastAsia="仿宋" w:cs="仿宋"/>
                <w:color w:val="auto"/>
                <w:sz w:val="24"/>
                <w:highlight w:val="none"/>
              </w:rPr>
              <w:t>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整（小写：¥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履行期限</w:t>
            </w:r>
          </w:p>
        </w:tc>
        <w:tc>
          <w:tcPr>
            <w:tcW w:w="6981" w:type="dxa"/>
            <w:vAlign w:val="center"/>
          </w:tcPr>
          <w:p>
            <w:pPr>
              <w:spacing w:after="12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备注</w:t>
            </w:r>
          </w:p>
        </w:tc>
        <w:tc>
          <w:tcPr>
            <w:tcW w:w="6981" w:type="dxa"/>
            <w:vAlign w:val="center"/>
          </w:tcPr>
          <w:p>
            <w:pPr>
              <w:spacing w:after="120"/>
              <w:rPr>
                <w:rFonts w:ascii="仿宋" w:hAnsi="仿宋" w:eastAsia="仿宋" w:cs="仿宋"/>
                <w:color w:val="auto"/>
                <w:sz w:val="24"/>
                <w:highlight w:val="none"/>
              </w:rPr>
            </w:pPr>
          </w:p>
        </w:tc>
      </w:tr>
    </w:tbl>
    <w:p>
      <w:pPr>
        <w:pStyle w:val="25"/>
        <w:rPr>
          <w:rFonts w:ascii="仿宋" w:hAnsi="仿宋" w:eastAsia="仿宋" w:cs="仿宋"/>
          <w:color w:val="auto"/>
          <w:highlight w:val="none"/>
          <w:lang w:val="zh-CN"/>
        </w:rPr>
      </w:pPr>
    </w:p>
    <w:p>
      <w:pPr>
        <w:autoSpaceDE w:val="0"/>
        <w:autoSpaceDN w:val="0"/>
        <w:adjustRightInd w:val="0"/>
        <w:snapToGrid w:val="0"/>
        <w:spacing w:line="360" w:lineRule="auto"/>
        <w:rPr>
          <w:rFonts w:ascii="仿宋" w:hAnsi="仿宋" w:eastAsia="仿宋" w:cs="仿宋"/>
          <w:b/>
          <w:bCs/>
          <w:color w:val="auto"/>
          <w:sz w:val="24"/>
          <w:highlight w:val="none"/>
        </w:rPr>
      </w:pPr>
    </w:p>
    <w:p>
      <w:pPr>
        <w:autoSpaceDE w:val="0"/>
        <w:autoSpaceDN w:val="0"/>
        <w:adjustRightInd w:val="0"/>
        <w:snapToGrid w:val="0"/>
        <w:spacing w:line="360" w:lineRule="auto"/>
        <w:rPr>
          <w:rFonts w:ascii="仿宋" w:hAnsi="仿宋" w:eastAsia="仿宋" w:cs="仿宋"/>
          <w:color w:val="auto"/>
          <w:sz w:val="24"/>
          <w:highlight w:val="none"/>
        </w:rPr>
      </w:pPr>
      <w:r>
        <w:rPr>
          <w:rFonts w:hint="eastAsia" w:ascii="仿宋" w:hAnsi="仿宋" w:eastAsia="仿宋" w:cs="仿宋"/>
          <w:b/>
          <w:bCs/>
          <w:color w:val="auto"/>
          <w:sz w:val="24"/>
          <w:highlight w:val="none"/>
        </w:rPr>
        <w:t xml:space="preserve">                                                                                     </w:t>
      </w:r>
    </w:p>
    <w:p>
      <w:pPr>
        <w:autoSpaceDE w:val="0"/>
        <w:autoSpaceDN w:val="0"/>
        <w:adjustRightInd w:val="0"/>
        <w:snapToGrid w:val="0"/>
        <w:spacing w:line="360" w:lineRule="auto"/>
        <w:ind w:firstLine="1080" w:firstLineChars="45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供应商</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法定代表人</w:t>
      </w:r>
      <w:r>
        <w:rPr>
          <w:rFonts w:hint="eastAsia" w:ascii="仿宋" w:hAnsi="仿宋" w:eastAsia="仿宋" w:cs="仿宋"/>
          <w:color w:val="auto"/>
          <w:sz w:val="24"/>
          <w:highlight w:val="none"/>
        </w:rPr>
        <w:t>（或单位负责人）或</w:t>
      </w:r>
      <w:r>
        <w:rPr>
          <w:rFonts w:hint="eastAsia" w:ascii="仿宋" w:hAnsi="仿宋" w:eastAsia="仿宋" w:cs="仿宋"/>
          <w:color w:val="auto"/>
          <w:sz w:val="24"/>
          <w:highlight w:val="none"/>
          <w:lang w:val="zh-CN"/>
        </w:rPr>
        <w:t>授权代表</w:t>
      </w:r>
    </w:p>
    <w:p>
      <w:pPr>
        <w:autoSpaceDE w:val="0"/>
        <w:autoSpaceDN w:val="0"/>
        <w:adjustRightInd w:val="0"/>
        <w:snapToGrid w:val="0"/>
        <w:spacing w:line="360" w:lineRule="auto"/>
        <w:ind w:firstLine="960" w:firstLineChars="4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（公章）：                            （</w:t>
      </w:r>
      <w:r>
        <w:rPr>
          <w:rFonts w:hint="eastAsia" w:ascii="仿宋" w:hAnsi="仿宋" w:eastAsia="仿宋" w:cs="仿宋"/>
          <w:b/>
          <w:color w:val="auto"/>
          <w:sz w:val="24"/>
          <w:highlight w:val="none"/>
          <w:lang w:val="zh-CN"/>
        </w:rPr>
        <w:t>签字或盖章</w:t>
      </w:r>
      <w:r>
        <w:rPr>
          <w:rFonts w:hint="eastAsia" w:ascii="仿宋" w:hAnsi="仿宋" w:eastAsia="仿宋" w:cs="仿宋"/>
          <w:color w:val="auto"/>
          <w:sz w:val="24"/>
          <w:highlight w:val="none"/>
          <w:lang w:val="zh-CN"/>
        </w:rPr>
        <w:t>）：</w:t>
      </w:r>
    </w:p>
    <w:p>
      <w:pPr>
        <w:autoSpaceDE w:val="0"/>
        <w:autoSpaceDN w:val="0"/>
        <w:adjustRightInd w:val="0"/>
        <w:snapToGrid w:val="0"/>
        <w:spacing w:line="360" w:lineRule="auto"/>
        <w:rPr>
          <w:rFonts w:ascii="仿宋" w:hAnsi="仿宋" w:eastAsia="仿宋" w:cs="仿宋"/>
          <w:color w:val="auto"/>
          <w:sz w:val="24"/>
          <w:highlight w:val="none"/>
          <w:lang w:val="zh-CN"/>
        </w:rPr>
      </w:pPr>
    </w:p>
    <w:p>
      <w:pPr>
        <w:autoSpaceDE w:val="0"/>
        <w:autoSpaceDN w:val="0"/>
        <w:adjustRightInd w:val="0"/>
        <w:snapToGrid w:val="0"/>
        <w:spacing w:line="360" w:lineRule="auto"/>
        <w:rPr>
          <w:rFonts w:ascii="仿宋" w:hAnsi="仿宋" w:eastAsia="仿宋" w:cs="仿宋"/>
          <w:color w:val="auto"/>
          <w:sz w:val="24"/>
          <w:highlight w:val="none"/>
          <w:lang w:val="zh-CN"/>
        </w:rPr>
      </w:pPr>
    </w:p>
    <w:p>
      <w:pPr>
        <w:autoSpaceDE w:val="0"/>
        <w:autoSpaceDN w:val="0"/>
        <w:adjustRightInd w:val="0"/>
        <w:snapToGrid w:val="0"/>
        <w:spacing w:line="360" w:lineRule="auto"/>
        <w:ind w:firstLine="240" w:firstLineChars="1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 xml:space="preserve">年 </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p>
    <w:p>
      <w:pPr>
        <w:spacing w:after="120"/>
        <w:rPr>
          <w:rFonts w:ascii="仿宋" w:hAnsi="仿宋" w:eastAsia="仿宋" w:cs="仿宋"/>
          <w:b/>
          <w:bCs/>
          <w:color w:val="auto"/>
          <w:sz w:val="30"/>
          <w:szCs w:val="30"/>
          <w:highlight w:val="none"/>
        </w:rPr>
        <w:sectPr>
          <w:footerReference r:id="rId11" w:type="first"/>
          <w:headerReference r:id="rId9" w:type="default"/>
          <w:footerReference r:id="rId10" w:type="default"/>
          <w:pgSz w:w="11906" w:h="16838"/>
          <w:pgMar w:top="1418" w:right="1418" w:bottom="1418" w:left="1418" w:header="851" w:footer="992" w:gutter="0"/>
          <w:cols w:space="720" w:num="1"/>
          <w:docGrid w:linePitch="312" w:charSpace="0"/>
        </w:sectPr>
      </w:pPr>
      <w:r>
        <w:rPr>
          <w:rFonts w:hint="eastAsia" w:ascii="仿宋" w:hAnsi="仿宋" w:eastAsia="仿宋" w:cs="仿宋"/>
          <w:color w:val="auto"/>
          <w:highlight w:val="none"/>
          <w:lang w:val="zh-CN"/>
        </w:rPr>
        <w:br w:type="page"/>
      </w:r>
    </w:p>
    <w:p>
      <w:pPr>
        <w:pStyle w:val="6"/>
        <w:jc w:val="center"/>
        <w:rPr>
          <w:rFonts w:ascii="仿宋" w:hAnsi="仿宋" w:eastAsia="仿宋" w:cs="仿宋"/>
          <w:b/>
          <w:bCs/>
          <w:color w:val="auto"/>
          <w:sz w:val="28"/>
          <w:szCs w:val="36"/>
          <w:highlight w:val="none"/>
        </w:rPr>
      </w:pPr>
    </w:p>
    <w:p>
      <w:pPr>
        <w:pStyle w:val="6"/>
        <w:jc w:val="center"/>
        <w:rPr>
          <w:rFonts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rPr>
        <w:t>（最后）分项报价表</w:t>
      </w:r>
    </w:p>
    <w:p>
      <w:pPr>
        <w:pStyle w:val="25"/>
        <w:rPr>
          <w:rFonts w:ascii="仿宋" w:hAnsi="仿宋" w:eastAsia="仿宋" w:cs="仿宋"/>
          <w:color w:val="auto"/>
          <w:highlight w:val="none"/>
        </w:rPr>
      </w:pPr>
      <w:r>
        <w:rPr>
          <w:rFonts w:hint="eastAsia" w:ascii="仿宋" w:hAnsi="仿宋" w:eastAsia="仿宋" w:cs="仿宋"/>
          <w:color w:val="auto"/>
          <w:highlight w:val="none"/>
        </w:rPr>
        <w:t xml:space="preserve">                      （随身携带，单独提供，无需装订在响应文件中）</w:t>
      </w:r>
    </w:p>
    <w:p>
      <w:pPr>
        <w:pStyle w:val="25"/>
        <w:rPr>
          <w:rFonts w:ascii="仿宋" w:hAnsi="仿宋" w:eastAsia="仿宋" w:cs="仿宋"/>
          <w:color w:val="auto"/>
          <w:sz w:val="24"/>
          <w:highlight w:val="none"/>
          <w:u w:val="single"/>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SCZC2023-CS-1763-001</w:t>
      </w:r>
      <w:r>
        <w:rPr>
          <w:rFonts w:hint="eastAsia" w:ascii="仿宋" w:hAnsi="仿宋" w:eastAsia="仿宋" w:cs="仿宋"/>
          <w:color w:val="auto"/>
          <w:sz w:val="24"/>
          <w:highlight w:val="none"/>
          <w:u w:val="single"/>
        </w:rPr>
        <w:t xml:space="preserve">              </w:t>
      </w:r>
    </w:p>
    <w:p>
      <w:pPr>
        <w:pStyle w:val="25"/>
        <w:rPr>
          <w:rFonts w:hint="eastAsia" w:ascii="仿宋" w:hAnsi="仿宋" w:eastAsia="仿宋" w:cs="仿宋"/>
          <w:color w:val="auto"/>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西安浐灞生态区绿地生态城2期东区1#别墅、围墙及白龙池路安全性检测鉴定项目</w:t>
      </w:r>
    </w:p>
    <w:tbl>
      <w:tblPr>
        <w:tblStyle w:val="50"/>
        <w:tblW w:w="8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519"/>
        <w:gridCol w:w="1033"/>
        <w:gridCol w:w="1276"/>
        <w:gridCol w:w="1299"/>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428"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服务名称</w:t>
            </w:r>
          </w:p>
        </w:tc>
        <w:tc>
          <w:tcPr>
            <w:tcW w:w="1519"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服务内容</w:t>
            </w:r>
          </w:p>
        </w:tc>
        <w:tc>
          <w:tcPr>
            <w:tcW w:w="1033"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数量/单位</w:t>
            </w:r>
          </w:p>
        </w:tc>
        <w:tc>
          <w:tcPr>
            <w:tcW w:w="1276"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单价（元）</w:t>
            </w:r>
          </w:p>
        </w:tc>
        <w:tc>
          <w:tcPr>
            <w:tcW w:w="1299"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小计（元）</w:t>
            </w:r>
          </w:p>
        </w:tc>
        <w:tc>
          <w:tcPr>
            <w:tcW w:w="963" w:type="dxa"/>
            <w:vAlign w:val="center"/>
          </w:tcPr>
          <w:p>
            <w:pPr>
              <w:adjustRightInd w:val="0"/>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仿宋" w:hAnsi="仿宋" w:eastAsia="仿宋" w:cs="仿宋"/>
                <w:color w:val="auto"/>
                <w:sz w:val="24"/>
                <w:highlight w:val="none"/>
              </w:rPr>
            </w:pPr>
          </w:p>
        </w:tc>
        <w:tc>
          <w:tcPr>
            <w:tcW w:w="1428" w:type="dxa"/>
            <w:vAlign w:val="center"/>
          </w:tcPr>
          <w:p>
            <w:pPr>
              <w:adjustRightInd w:val="0"/>
              <w:snapToGrid w:val="0"/>
              <w:spacing w:line="360" w:lineRule="auto"/>
              <w:rPr>
                <w:rFonts w:ascii="仿宋" w:hAnsi="仿宋" w:eastAsia="仿宋" w:cs="仿宋"/>
                <w:color w:val="auto"/>
                <w:sz w:val="24"/>
                <w:highlight w:val="none"/>
              </w:rPr>
            </w:pPr>
          </w:p>
        </w:tc>
        <w:tc>
          <w:tcPr>
            <w:tcW w:w="1519" w:type="dxa"/>
          </w:tcPr>
          <w:p>
            <w:pPr>
              <w:adjustRightInd w:val="0"/>
              <w:snapToGrid w:val="0"/>
              <w:spacing w:line="360" w:lineRule="auto"/>
              <w:rPr>
                <w:rFonts w:ascii="仿宋" w:hAnsi="仿宋" w:eastAsia="仿宋" w:cs="仿宋"/>
                <w:color w:val="auto"/>
                <w:sz w:val="24"/>
                <w:highlight w:val="none"/>
              </w:rPr>
            </w:pPr>
          </w:p>
        </w:tc>
        <w:tc>
          <w:tcPr>
            <w:tcW w:w="1033" w:type="dxa"/>
            <w:vAlign w:val="center"/>
          </w:tcPr>
          <w:p>
            <w:pPr>
              <w:adjustRightInd w:val="0"/>
              <w:snapToGrid w:val="0"/>
              <w:spacing w:line="360" w:lineRule="auto"/>
              <w:rPr>
                <w:rFonts w:ascii="仿宋" w:hAnsi="仿宋" w:eastAsia="仿宋" w:cs="仿宋"/>
                <w:color w:val="auto"/>
                <w:sz w:val="24"/>
                <w:highlight w:val="none"/>
              </w:rPr>
            </w:pPr>
          </w:p>
        </w:tc>
        <w:tc>
          <w:tcPr>
            <w:tcW w:w="1276" w:type="dxa"/>
            <w:vAlign w:val="center"/>
          </w:tcPr>
          <w:p>
            <w:pPr>
              <w:adjustRightInd w:val="0"/>
              <w:snapToGrid w:val="0"/>
              <w:spacing w:line="360" w:lineRule="auto"/>
              <w:rPr>
                <w:rFonts w:ascii="仿宋" w:hAnsi="仿宋" w:eastAsia="仿宋" w:cs="仿宋"/>
                <w:color w:val="auto"/>
                <w:sz w:val="24"/>
                <w:highlight w:val="none"/>
              </w:rPr>
            </w:pPr>
          </w:p>
        </w:tc>
        <w:tc>
          <w:tcPr>
            <w:tcW w:w="1299" w:type="dxa"/>
            <w:vAlign w:val="center"/>
          </w:tcPr>
          <w:p>
            <w:pPr>
              <w:adjustRightInd w:val="0"/>
              <w:snapToGrid w:val="0"/>
              <w:spacing w:line="360" w:lineRule="auto"/>
              <w:rPr>
                <w:rFonts w:ascii="仿宋" w:hAnsi="仿宋" w:eastAsia="仿宋" w:cs="仿宋"/>
                <w:color w:val="auto"/>
                <w:sz w:val="24"/>
                <w:highlight w:val="none"/>
              </w:rPr>
            </w:pPr>
          </w:p>
        </w:tc>
        <w:tc>
          <w:tcPr>
            <w:tcW w:w="963" w:type="dxa"/>
            <w:vAlign w:val="center"/>
          </w:tcPr>
          <w:p>
            <w:pPr>
              <w:adjustRightInd w:val="0"/>
              <w:snapToGrid w:val="0"/>
              <w:spacing w:line="360" w:lineRule="auto"/>
              <w:rPr>
                <w:rFonts w:ascii="仿宋" w:hAnsi="仿宋" w:eastAsia="仿宋" w:cs="仿宋"/>
                <w:color w:val="auto"/>
                <w:sz w:val="24"/>
                <w:highlight w:val="none"/>
              </w:rPr>
            </w:pPr>
          </w:p>
        </w:tc>
      </w:tr>
    </w:tbl>
    <w:p>
      <w:pPr>
        <w:autoSpaceDE w:val="0"/>
        <w:autoSpaceDN w:val="0"/>
        <w:adjustRightInd w:val="0"/>
        <w:snapToGrid w:val="0"/>
        <w:spacing w:before="120" w:line="360" w:lineRule="auto"/>
        <w:ind w:left="-206" w:leftChars="-98"/>
        <w:jc w:val="left"/>
        <w:rPr>
          <w:rFonts w:ascii="仿宋" w:hAnsi="仿宋" w:eastAsia="仿宋" w:cs="仿宋"/>
          <w:color w:val="auto"/>
          <w:kern w:val="0"/>
          <w:sz w:val="24"/>
          <w:szCs w:val="28"/>
          <w:highlight w:val="none"/>
        </w:rPr>
      </w:pPr>
    </w:p>
    <w:p>
      <w:pPr>
        <w:adjustRightInd w:val="0"/>
        <w:snapToGrid w:val="0"/>
        <w:spacing w:line="360" w:lineRule="auto"/>
        <w:ind w:firstLine="120" w:firstLineChars="50"/>
        <w:rPr>
          <w:rFonts w:ascii="仿宋" w:hAnsi="仿宋" w:eastAsia="仿宋" w:cs="仿宋"/>
          <w:color w:val="auto"/>
          <w:sz w:val="24"/>
          <w:highlight w:val="none"/>
        </w:rPr>
      </w:pPr>
      <w:r>
        <w:rPr>
          <w:rFonts w:hint="eastAsia" w:ascii="仿宋" w:hAnsi="仿宋" w:eastAsia="仿宋" w:cs="仿宋"/>
          <w:color w:val="auto"/>
          <w:sz w:val="24"/>
          <w:highlight w:val="none"/>
        </w:rPr>
        <w:t>供应商                         法定代表人（或单位负责人）或授权代表</w:t>
      </w:r>
    </w:p>
    <w:p>
      <w:pPr>
        <w:adjustRightInd w:val="0"/>
        <w:snapToGrid w:val="0"/>
        <w:spacing w:line="360" w:lineRule="auto"/>
        <w:ind w:left="-525" w:leftChars="-250" w:firstLine="720" w:firstLineChars="300"/>
        <w:rPr>
          <w:rFonts w:ascii="仿宋" w:hAnsi="仿宋" w:eastAsia="仿宋" w:cs="仿宋"/>
          <w:b/>
          <w:color w:val="auto"/>
          <w:sz w:val="42"/>
          <w:highlight w:val="none"/>
        </w:rPr>
      </w:pPr>
      <w:r>
        <w:rPr>
          <w:rFonts w:hint="eastAsia" w:ascii="仿宋" w:hAnsi="仿宋" w:eastAsia="仿宋" w:cs="仿宋"/>
          <w:color w:val="auto"/>
          <w:sz w:val="24"/>
          <w:highlight w:val="none"/>
        </w:rPr>
        <w:t>（公章）：                          （签字或盖章）：</w:t>
      </w:r>
    </w:p>
    <w:sectPr>
      <w:footerReference r:id="rId13" w:type="first"/>
      <w:footerReference r:id="rId12"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auto"/>
    <w:pitch w:val="default"/>
    <w:sig w:usb0="00000000" w:usb1="00000000" w:usb2="00000016" w:usb3="00000000" w:csb0="00100001" w:csb1="00000000"/>
  </w:font>
  <w:font w:name="MS Sans Serif">
    <w:altName w:val="Arial"/>
    <w:panose1 w:val="020B05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Glyphicons Halflings">
    <w:altName w:val="Segoe Print"/>
    <w:panose1 w:val="00000000000000000000"/>
    <w:charset w:val="00"/>
    <w:family w:val="auto"/>
    <w:pitch w:val="default"/>
    <w:sig w:usb0="00000000" w:usb1="00000000" w:usb2="00000000" w:usb3="00000000" w:csb0="00000000" w:csb1="00000000"/>
  </w:font>
  <w:font w:name="layui-icon">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swiper-icons">
    <w:altName w:val="Segoe Print"/>
    <w:panose1 w:val="00000000000000000000"/>
    <w:charset w:val="00"/>
    <w:family w:val="auto"/>
    <w:pitch w:val="default"/>
    <w:sig w:usb0="00000000" w:usb1="00000000" w:usb2="00000000" w:usb3="00000000" w:csb0="00000000" w:csb1="00000000"/>
  </w:font>
  <w:font w:name="SourceHanSansCN-Regular">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76" w:lineRule="auto"/>
      <w:ind w:left="4530"/>
      <w:jc w:val="left"/>
      <w:textAlignment w:val="baseline"/>
      <w:rPr>
        <w:rFonts w:ascii="Times New Roman" w:hAnsi="Times New Roman" w:eastAsia="Times New Roman" w:cs="Times New Roman"/>
        <w:snapToGrid w:val="0"/>
        <w:color w:val="000000"/>
        <w:kern w:val="0"/>
        <w:sz w:val="18"/>
        <w:szCs w:val="18"/>
        <w:lang w:eastAsia="en-US"/>
      </w:rPr>
    </w:pPr>
    <w:r>
      <w:rPr>
        <w:rFonts w:ascii="Arial" w:hAnsi="Arial" w:eastAsia="Arial" w:cs="Arial"/>
        <w:snapToGrid w:val="0"/>
        <w:color w:val="000000"/>
        <w:kern w:val="0"/>
        <w:sz w:val="18"/>
        <w:szCs w:val="21"/>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insoku w:val="0"/>
                            <w:autoSpaceDE w:val="0"/>
                            <w:autoSpaceDN w:val="0"/>
                            <w:adjustRightInd w:val="0"/>
                            <w:snapToGrid w:val="0"/>
                            <w:spacing w:line="240" w:lineRule="atLeast"/>
                            <w:textAlignment w:val="baseline"/>
                            <w:rPr>
                              <w:rFonts w:ascii="Arial" w:hAnsi="Arial" w:eastAsia="Arial" w:cs="Arial"/>
                              <w:snapToGrid w:val="0"/>
                              <w:color w:val="000000"/>
                              <w:sz w:val="18"/>
                              <w:szCs w:val="21"/>
                              <w:lang w:val="en-US" w:eastAsia="en-US" w:bidi="ar-SA"/>
                            </w:rPr>
                          </w:pPr>
                          <w:r>
                            <w:rPr>
                              <w:rFonts w:ascii="Arial" w:hAnsi="Arial" w:eastAsia="Arial" w:cs="Arial"/>
                              <w:snapToGrid w:val="0"/>
                              <w:color w:val="000000"/>
                              <w:sz w:val="18"/>
                              <w:szCs w:val="21"/>
                              <w:lang w:val="en-US" w:eastAsia="en-US" w:bidi="ar-SA"/>
                            </w:rPr>
                            <w:fldChar w:fldCharType="begin"/>
                          </w:r>
                          <w:r>
                            <w:rPr>
                              <w:rFonts w:ascii="Arial" w:hAnsi="Arial" w:eastAsia="Arial" w:cs="Arial"/>
                              <w:snapToGrid w:val="0"/>
                              <w:color w:val="000000"/>
                              <w:sz w:val="18"/>
                              <w:szCs w:val="21"/>
                              <w:lang w:val="en-US" w:eastAsia="en-US" w:bidi="ar-SA"/>
                            </w:rPr>
                            <w:instrText xml:space="preserve"> PAGE  \* MERGEFORMAT </w:instrText>
                          </w:r>
                          <w:r>
                            <w:rPr>
                              <w:rFonts w:ascii="Arial" w:hAnsi="Arial" w:eastAsia="Arial" w:cs="Arial"/>
                              <w:snapToGrid w:val="0"/>
                              <w:color w:val="000000"/>
                              <w:sz w:val="18"/>
                              <w:szCs w:val="21"/>
                              <w:lang w:val="en-US" w:eastAsia="en-US" w:bidi="ar-SA"/>
                            </w:rPr>
                            <w:fldChar w:fldCharType="separate"/>
                          </w:r>
                          <w:r>
                            <w:rPr>
                              <w:rFonts w:ascii="Arial" w:hAnsi="Arial" w:eastAsia="Arial" w:cs="Arial"/>
                              <w:snapToGrid w:val="0"/>
                              <w:color w:val="000000"/>
                              <w:sz w:val="18"/>
                              <w:szCs w:val="21"/>
                              <w:lang w:val="en-US" w:eastAsia="en-US" w:bidi="ar-SA"/>
                            </w:rPr>
                            <w:t>5</w:t>
                          </w:r>
                          <w:r>
                            <w:rPr>
                              <w:rFonts w:ascii="Arial" w:hAnsi="Arial" w:eastAsia="Arial" w:cs="Arial"/>
                              <w:snapToGrid w:val="0"/>
                              <w:color w:val="000000"/>
                              <w:sz w:val="18"/>
                              <w:szCs w:val="21"/>
                              <w:lang w:val="en-US" w:eastAsia="en-US" w:bidi="ar-S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kinsoku w:val="0"/>
                      <w:autoSpaceDE w:val="0"/>
                      <w:autoSpaceDN w:val="0"/>
                      <w:adjustRightInd w:val="0"/>
                      <w:snapToGrid w:val="0"/>
                      <w:spacing w:line="240" w:lineRule="atLeast"/>
                      <w:textAlignment w:val="baseline"/>
                      <w:rPr>
                        <w:rFonts w:ascii="Arial" w:hAnsi="Arial" w:eastAsia="Arial" w:cs="Arial"/>
                        <w:snapToGrid w:val="0"/>
                        <w:color w:val="000000"/>
                        <w:sz w:val="18"/>
                        <w:szCs w:val="21"/>
                        <w:lang w:val="en-US" w:eastAsia="en-US" w:bidi="ar-SA"/>
                      </w:rPr>
                    </w:pPr>
                    <w:r>
                      <w:rPr>
                        <w:rFonts w:ascii="Arial" w:hAnsi="Arial" w:eastAsia="Arial" w:cs="Arial"/>
                        <w:snapToGrid w:val="0"/>
                        <w:color w:val="000000"/>
                        <w:sz w:val="18"/>
                        <w:szCs w:val="21"/>
                        <w:lang w:val="en-US" w:eastAsia="en-US" w:bidi="ar-SA"/>
                      </w:rPr>
                      <w:fldChar w:fldCharType="begin"/>
                    </w:r>
                    <w:r>
                      <w:rPr>
                        <w:rFonts w:ascii="Arial" w:hAnsi="Arial" w:eastAsia="Arial" w:cs="Arial"/>
                        <w:snapToGrid w:val="0"/>
                        <w:color w:val="000000"/>
                        <w:sz w:val="18"/>
                        <w:szCs w:val="21"/>
                        <w:lang w:val="en-US" w:eastAsia="en-US" w:bidi="ar-SA"/>
                      </w:rPr>
                      <w:instrText xml:space="preserve"> PAGE  \* MERGEFORMAT </w:instrText>
                    </w:r>
                    <w:r>
                      <w:rPr>
                        <w:rFonts w:ascii="Arial" w:hAnsi="Arial" w:eastAsia="Arial" w:cs="Arial"/>
                        <w:snapToGrid w:val="0"/>
                        <w:color w:val="000000"/>
                        <w:sz w:val="18"/>
                        <w:szCs w:val="21"/>
                        <w:lang w:val="en-US" w:eastAsia="en-US" w:bidi="ar-SA"/>
                      </w:rPr>
                      <w:fldChar w:fldCharType="separate"/>
                    </w:r>
                    <w:r>
                      <w:rPr>
                        <w:rFonts w:ascii="Arial" w:hAnsi="Arial" w:eastAsia="Arial" w:cs="Arial"/>
                        <w:snapToGrid w:val="0"/>
                        <w:color w:val="000000"/>
                        <w:sz w:val="18"/>
                        <w:szCs w:val="21"/>
                        <w:lang w:val="en-US" w:eastAsia="en-US" w:bidi="ar-SA"/>
                      </w:rPr>
                      <w:t>5</w:t>
                    </w:r>
                    <w:r>
                      <w:rPr>
                        <w:rFonts w:ascii="Arial" w:hAnsi="Arial" w:eastAsia="Arial" w:cs="Arial"/>
                        <w:snapToGrid w:val="0"/>
                        <w:color w:val="000000"/>
                        <w:sz w:val="18"/>
                        <w:szCs w:val="21"/>
                        <w:lang w:val="en-US" w:eastAsia="en-US"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2"/>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64</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2"/>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64</w:t>
                    </w:r>
                    <w:r>
                      <w:rPr>
                        <w:rFonts w:ascii="Times New Roman" w:hAnsi="Times New Roman"/>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2"/>
                          </w:pPr>
                          <w:r>
                            <w:rPr>
                              <w:rFonts w:hint="eastAsia"/>
                            </w:rPr>
                            <w:fldChar w:fldCharType="begin"/>
                          </w:r>
                          <w:r>
                            <w:instrText xml:space="preserve"> PAGE  \* MERGEFORMAT </w:instrText>
                          </w:r>
                          <w:r>
                            <w:rPr>
                              <w:rFonts w:hint="eastAsia"/>
                            </w:rPr>
                            <w:fldChar w:fldCharType="separate"/>
                          </w:r>
                          <w:r>
                            <w:t>71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2"/>
                    </w:pPr>
                    <w:r>
                      <w:rPr>
                        <w:rFonts w:hint="eastAsia"/>
                      </w:rPr>
                      <w:fldChar w:fldCharType="begin"/>
                    </w:r>
                    <w:r>
                      <w:instrText xml:space="preserve"> PAGE  \* MERGEFORMAT </w:instrText>
                    </w:r>
                    <w:r>
                      <w:rPr>
                        <w:rFonts w:hint="eastAsia"/>
                      </w:rPr>
                      <w:fldChar w:fldCharType="separate"/>
                    </w:r>
                    <w:r>
                      <w:t>71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2"/>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59264;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kinsoku w:val="0"/>
      <w:autoSpaceDE w:val="0"/>
      <w:autoSpaceDN w:val="0"/>
      <w:adjustRightInd w:val="0"/>
      <w:snapToGrid w:val="0"/>
      <w:jc w:val="right"/>
      <w:textAlignment w:val="baseline"/>
      <w:rPr>
        <w:rFonts w:ascii="Arial" w:hAnsi="Arial" w:eastAsia="Arial" w:cs="Arial"/>
        <w:snapToGrid w:val="0"/>
        <w:color w:val="000000"/>
        <w:sz w:val="18"/>
        <w:szCs w:val="18"/>
        <w:lang w:val="en-US" w:eastAsia="en-US"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5"/>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1">
    <w:nsid w:val="FA2D3D5B"/>
    <w:multiLevelType w:val="singleLevel"/>
    <w:tmpl w:val="FA2D3D5B"/>
    <w:lvl w:ilvl="0" w:tentative="0">
      <w:start w:val="30"/>
      <w:numFmt w:val="decimal"/>
      <w:suff w:val="space"/>
      <w:lvlText w:val="%1."/>
      <w:lvlJc w:val="left"/>
    </w:lvl>
  </w:abstractNum>
  <w:abstractNum w:abstractNumId="2">
    <w:nsid w:val="0000000E"/>
    <w:multiLevelType w:val="multilevel"/>
    <w:tmpl w:val="0000000E"/>
    <w:lvl w:ilvl="0" w:tentative="0">
      <w:start w:val="1"/>
      <w:numFmt w:val="decimal"/>
      <w:pStyle w:val="95"/>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8"/>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1035497F"/>
    <w:multiLevelType w:val="singleLevel"/>
    <w:tmpl w:val="1035497F"/>
    <w:lvl w:ilvl="0" w:tentative="0">
      <w:start w:val="5"/>
      <w:numFmt w:val="decimal"/>
      <w:suff w:val="space"/>
      <w:lvlText w:val="%1."/>
      <w:lvlJc w:val="left"/>
    </w:lvl>
  </w:abstractNum>
  <w:abstractNum w:abstractNumId="6">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7">
    <w:nsid w:val="3CF0316B"/>
    <w:multiLevelType w:val="singleLevel"/>
    <w:tmpl w:val="3CF0316B"/>
    <w:lvl w:ilvl="0" w:tentative="0">
      <w:start w:val="1"/>
      <w:numFmt w:val="decimal"/>
      <w:suff w:val="space"/>
      <w:lvlText w:val="%1."/>
      <w:lvlJc w:val="left"/>
      <w:pPr>
        <w:tabs>
          <w:tab w:val="left" w:pos="0"/>
        </w:tabs>
        <w:ind w:left="0" w:firstLine="0"/>
      </w:pPr>
      <w:rPr>
        <w:rFonts w:hint="default"/>
      </w:rPr>
    </w:lvl>
  </w:abstractNum>
  <w:abstractNum w:abstractNumId="8">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9">
    <w:nsid w:val="537AA372"/>
    <w:multiLevelType w:val="singleLevel"/>
    <w:tmpl w:val="537AA372"/>
    <w:lvl w:ilvl="0" w:tentative="0">
      <w:start w:val="21"/>
      <w:numFmt w:val="decimal"/>
      <w:suff w:val="space"/>
      <w:lvlText w:val="%1."/>
      <w:lvlJc w:val="left"/>
    </w:lvl>
  </w:abstractNum>
  <w:abstractNum w:abstractNumId="10">
    <w:nsid w:val="5AA8DCB0"/>
    <w:multiLevelType w:val="singleLevel"/>
    <w:tmpl w:val="5AA8DCB0"/>
    <w:lvl w:ilvl="0" w:tentative="0">
      <w:start w:val="1"/>
      <w:numFmt w:val="decimal"/>
      <w:suff w:val="nothing"/>
      <w:lvlText w:val="%1、"/>
      <w:lvlJc w:val="left"/>
    </w:lvl>
  </w:abstractNum>
  <w:abstractNum w:abstractNumId="11">
    <w:nsid w:val="5AAB3475"/>
    <w:multiLevelType w:val="singleLevel"/>
    <w:tmpl w:val="5AAB3475"/>
    <w:lvl w:ilvl="0" w:tentative="0">
      <w:start w:val="1"/>
      <w:numFmt w:val="decimal"/>
      <w:lvlText w:val="%1."/>
      <w:lvlJc w:val="left"/>
      <w:pPr>
        <w:ind w:left="425" w:hanging="425"/>
      </w:pPr>
      <w:rPr>
        <w:rFonts w:hint="default"/>
      </w:rPr>
    </w:lvl>
  </w:abstractNum>
  <w:abstractNum w:abstractNumId="12">
    <w:nsid w:val="5AAB3487"/>
    <w:multiLevelType w:val="singleLevel"/>
    <w:tmpl w:val="5AAB3487"/>
    <w:lvl w:ilvl="0" w:tentative="0">
      <w:start w:val="1"/>
      <w:numFmt w:val="decimal"/>
      <w:lvlText w:val="%1)"/>
      <w:lvlJc w:val="left"/>
      <w:pPr>
        <w:ind w:left="567" w:hanging="425"/>
      </w:pPr>
      <w:rPr>
        <w:rFonts w:hint="default"/>
      </w:rPr>
    </w:lvl>
  </w:abstractNum>
  <w:abstractNum w:abstractNumId="13">
    <w:nsid w:val="624D1350"/>
    <w:multiLevelType w:val="singleLevel"/>
    <w:tmpl w:val="624D1350"/>
    <w:lvl w:ilvl="0" w:tentative="0">
      <w:start w:val="25"/>
      <w:numFmt w:val="decimal"/>
      <w:suff w:val="space"/>
      <w:lvlText w:val="%1."/>
      <w:lvlJc w:val="left"/>
    </w:lvl>
  </w:abstractNum>
  <w:abstractNum w:abstractNumId="14">
    <w:nsid w:val="6CEA2025"/>
    <w:multiLevelType w:val="multilevel"/>
    <w:tmpl w:val="6CEA2025"/>
    <w:lvl w:ilvl="0" w:tentative="0">
      <w:start w:val="1"/>
      <w:numFmt w:val="none"/>
      <w:pStyle w:val="240"/>
      <w:suff w:val="nothing"/>
      <w:lvlText w:val="%1"/>
      <w:lvlJc w:val="left"/>
      <w:pPr>
        <w:ind w:left="0" w:firstLine="0"/>
      </w:pPr>
      <w:rPr>
        <w:rFonts w:hint="default" w:ascii="Times New Roman" w:hAnsi="Times New Roman"/>
        <w:b/>
        <w:i w:val="0"/>
        <w:sz w:val="21"/>
      </w:rPr>
    </w:lvl>
    <w:lvl w:ilvl="1" w:tentative="0">
      <w:start w:val="1"/>
      <w:numFmt w:val="decimal"/>
      <w:pStyle w:val="241"/>
      <w:suff w:val="nothing"/>
      <w:lvlText w:val="%1%2　"/>
      <w:lvlJc w:val="left"/>
      <w:pPr>
        <w:ind w:left="315" w:firstLine="0"/>
      </w:pPr>
      <w:rPr>
        <w:rFonts w:hint="eastAsia" w:ascii="黑体" w:hAnsi="Times New Roman" w:eastAsia="黑体"/>
        <w:b w:val="0"/>
        <w:i w:val="0"/>
        <w:sz w:val="21"/>
      </w:rPr>
    </w:lvl>
    <w:lvl w:ilvl="2" w:tentative="0">
      <w:start w:val="1"/>
      <w:numFmt w:val="decimal"/>
      <w:pStyle w:val="242"/>
      <w:suff w:val="nothing"/>
      <w:lvlText w:val="%1%2.%3　"/>
      <w:lvlJc w:val="left"/>
      <w:pPr>
        <w:ind w:left="630" w:firstLine="0"/>
      </w:pPr>
      <w:rPr>
        <w:rFonts w:hint="eastAsia" w:ascii="黑体" w:hAnsi="Times New Roman" w:eastAsia="黑体"/>
        <w:b w:val="0"/>
        <w:i w:val="0"/>
        <w:sz w:val="21"/>
      </w:rPr>
    </w:lvl>
    <w:lvl w:ilvl="3" w:tentative="0">
      <w:start w:val="1"/>
      <w:numFmt w:val="decimal"/>
      <w:pStyle w:val="243"/>
      <w:suff w:val="nothing"/>
      <w:lvlText w:val="%1%2.%3.%4　"/>
      <w:lvlJc w:val="left"/>
      <w:pPr>
        <w:ind w:left="567" w:firstLine="0"/>
      </w:pPr>
      <w:rPr>
        <w:rFonts w:hint="eastAsia" w:ascii="黑体" w:hAnsi="Times New Roman" w:eastAsia="黑体"/>
        <w:b w:val="0"/>
        <w:i w:val="0"/>
        <w:sz w:val="21"/>
      </w:rPr>
    </w:lvl>
    <w:lvl w:ilvl="4" w:tentative="0">
      <w:start w:val="1"/>
      <w:numFmt w:val="decimal"/>
      <w:pStyle w:val="245"/>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6"/>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6">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7">
    <w:nsid w:val="76933334"/>
    <w:multiLevelType w:val="multilevel"/>
    <w:tmpl w:val="76933334"/>
    <w:lvl w:ilvl="0" w:tentative="0">
      <w:start w:val="1"/>
      <w:numFmt w:val="none"/>
      <w:pStyle w:val="24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4"/>
  </w:num>
  <w:num w:numId="4">
    <w:abstractNumId w:val="17"/>
  </w:num>
  <w:num w:numId="5">
    <w:abstractNumId w:val="5"/>
  </w:num>
  <w:num w:numId="6">
    <w:abstractNumId w:val="8"/>
  </w:num>
  <w:num w:numId="7">
    <w:abstractNumId w:val="0"/>
  </w:num>
  <w:num w:numId="8">
    <w:abstractNumId w:val="9"/>
  </w:num>
  <w:num w:numId="9">
    <w:abstractNumId w:val="13"/>
  </w:num>
  <w:num w:numId="10">
    <w:abstractNumId w:val="4"/>
  </w:num>
  <w:num w:numId="11">
    <w:abstractNumId w:val="1"/>
  </w:num>
  <w:num w:numId="12">
    <w:abstractNumId w:val="11"/>
  </w:num>
  <w:num w:numId="13">
    <w:abstractNumId w:val="12"/>
  </w:num>
  <w:num w:numId="14">
    <w:abstractNumId w:val="7"/>
  </w:num>
  <w:num w:numId="15">
    <w:abstractNumId w:val="10"/>
  </w:num>
  <w:num w:numId="16">
    <w:abstractNumId w:val="6"/>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NDQxYWM0MTczYjBhMzlmYjdkYmMwMzBhMmYwMWMifQ=="/>
  </w:docVars>
  <w:rsids>
    <w:rsidRoot w:val="00172A27"/>
    <w:rsid w:val="000076EB"/>
    <w:rsid w:val="00010824"/>
    <w:rsid w:val="00011C69"/>
    <w:rsid w:val="0001361A"/>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B5CCC"/>
    <w:rsid w:val="000C135C"/>
    <w:rsid w:val="000C1FF9"/>
    <w:rsid w:val="000C3906"/>
    <w:rsid w:val="000C5BB6"/>
    <w:rsid w:val="000D231B"/>
    <w:rsid w:val="000D4A95"/>
    <w:rsid w:val="000D6BDC"/>
    <w:rsid w:val="000E103E"/>
    <w:rsid w:val="000E1212"/>
    <w:rsid w:val="000E2D1B"/>
    <w:rsid w:val="000E5101"/>
    <w:rsid w:val="000E638B"/>
    <w:rsid w:val="000F3A5B"/>
    <w:rsid w:val="001019AA"/>
    <w:rsid w:val="001027AD"/>
    <w:rsid w:val="00106BC6"/>
    <w:rsid w:val="00112F6D"/>
    <w:rsid w:val="0011313B"/>
    <w:rsid w:val="00121510"/>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3F598A"/>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4658"/>
    <w:rsid w:val="004B498E"/>
    <w:rsid w:val="004B631E"/>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1F6A"/>
    <w:rsid w:val="005E226F"/>
    <w:rsid w:val="005E62A2"/>
    <w:rsid w:val="005E725B"/>
    <w:rsid w:val="005F2153"/>
    <w:rsid w:val="005F5F4A"/>
    <w:rsid w:val="005F65DF"/>
    <w:rsid w:val="005F7683"/>
    <w:rsid w:val="00610176"/>
    <w:rsid w:val="0062765A"/>
    <w:rsid w:val="0063060A"/>
    <w:rsid w:val="00630C07"/>
    <w:rsid w:val="00630C0C"/>
    <w:rsid w:val="006360BD"/>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B564C"/>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26300"/>
    <w:rsid w:val="0073346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109"/>
    <w:rsid w:val="007E5F14"/>
    <w:rsid w:val="007E6350"/>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5B04"/>
    <w:rsid w:val="00855CA5"/>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7673A"/>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6C8C"/>
    <w:rsid w:val="009C7C3E"/>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65FA9"/>
    <w:rsid w:val="00A77387"/>
    <w:rsid w:val="00A77DC2"/>
    <w:rsid w:val="00A80309"/>
    <w:rsid w:val="00A80EE8"/>
    <w:rsid w:val="00A85050"/>
    <w:rsid w:val="00A85AED"/>
    <w:rsid w:val="00A91861"/>
    <w:rsid w:val="00AA24F4"/>
    <w:rsid w:val="00AB0C96"/>
    <w:rsid w:val="00AB3A97"/>
    <w:rsid w:val="00AB4466"/>
    <w:rsid w:val="00AB5D9E"/>
    <w:rsid w:val="00AB762D"/>
    <w:rsid w:val="00AB7CB0"/>
    <w:rsid w:val="00AC3C7D"/>
    <w:rsid w:val="00AC533B"/>
    <w:rsid w:val="00AC5E2A"/>
    <w:rsid w:val="00AD2213"/>
    <w:rsid w:val="00AE1D80"/>
    <w:rsid w:val="00AF0FAA"/>
    <w:rsid w:val="00AF1302"/>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06C6"/>
    <w:rsid w:val="00B46D0B"/>
    <w:rsid w:val="00B51A48"/>
    <w:rsid w:val="00B5212F"/>
    <w:rsid w:val="00B52AF4"/>
    <w:rsid w:val="00B537AA"/>
    <w:rsid w:val="00B56FF2"/>
    <w:rsid w:val="00B72D2A"/>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0DF0"/>
    <w:rsid w:val="00C72612"/>
    <w:rsid w:val="00C8377E"/>
    <w:rsid w:val="00C85F20"/>
    <w:rsid w:val="00C94EED"/>
    <w:rsid w:val="00C9738A"/>
    <w:rsid w:val="00CA5206"/>
    <w:rsid w:val="00CA6B7F"/>
    <w:rsid w:val="00CB3C62"/>
    <w:rsid w:val="00CB450A"/>
    <w:rsid w:val="00CB5439"/>
    <w:rsid w:val="00CB689E"/>
    <w:rsid w:val="00CB694A"/>
    <w:rsid w:val="00CC0844"/>
    <w:rsid w:val="00CC0E95"/>
    <w:rsid w:val="00CC2D24"/>
    <w:rsid w:val="00CC3041"/>
    <w:rsid w:val="00CC4D12"/>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348"/>
    <w:rsid w:val="00D3565A"/>
    <w:rsid w:val="00D411BC"/>
    <w:rsid w:val="00D41306"/>
    <w:rsid w:val="00D42B17"/>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C7506"/>
    <w:rsid w:val="00ED12D4"/>
    <w:rsid w:val="00ED4E89"/>
    <w:rsid w:val="00EE20B7"/>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19C"/>
    <w:rsid w:val="00F74506"/>
    <w:rsid w:val="00F749CB"/>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488E"/>
    <w:rsid w:val="00FF6AE6"/>
    <w:rsid w:val="01211AD4"/>
    <w:rsid w:val="0123584C"/>
    <w:rsid w:val="01276CE6"/>
    <w:rsid w:val="01391AF7"/>
    <w:rsid w:val="0167511D"/>
    <w:rsid w:val="0187402D"/>
    <w:rsid w:val="018E7169"/>
    <w:rsid w:val="019C09DA"/>
    <w:rsid w:val="019C3329"/>
    <w:rsid w:val="01A00C4B"/>
    <w:rsid w:val="01A52705"/>
    <w:rsid w:val="01A56820"/>
    <w:rsid w:val="01A87AFF"/>
    <w:rsid w:val="01B73196"/>
    <w:rsid w:val="01C761D7"/>
    <w:rsid w:val="01D46B46"/>
    <w:rsid w:val="01DB0F21"/>
    <w:rsid w:val="01DB7ED5"/>
    <w:rsid w:val="01F85948"/>
    <w:rsid w:val="020044B1"/>
    <w:rsid w:val="02263D61"/>
    <w:rsid w:val="023868B8"/>
    <w:rsid w:val="023C4E17"/>
    <w:rsid w:val="026E2AF7"/>
    <w:rsid w:val="027C0B8B"/>
    <w:rsid w:val="027D1EDC"/>
    <w:rsid w:val="02AA6F17"/>
    <w:rsid w:val="02C46BBB"/>
    <w:rsid w:val="02CF7A3A"/>
    <w:rsid w:val="02E6429D"/>
    <w:rsid w:val="02E903CF"/>
    <w:rsid w:val="03035935"/>
    <w:rsid w:val="032E5AB3"/>
    <w:rsid w:val="03373831"/>
    <w:rsid w:val="034026E5"/>
    <w:rsid w:val="034321D6"/>
    <w:rsid w:val="03522419"/>
    <w:rsid w:val="03681C3C"/>
    <w:rsid w:val="036D7252"/>
    <w:rsid w:val="03806F86"/>
    <w:rsid w:val="0380752A"/>
    <w:rsid w:val="03870314"/>
    <w:rsid w:val="039E11BA"/>
    <w:rsid w:val="03C4317A"/>
    <w:rsid w:val="03C50E3C"/>
    <w:rsid w:val="03CF75C5"/>
    <w:rsid w:val="03E70DB3"/>
    <w:rsid w:val="03EF1A15"/>
    <w:rsid w:val="0406477E"/>
    <w:rsid w:val="041E1097"/>
    <w:rsid w:val="043833BC"/>
    <w:rsid w:val="045D1075"/>
    <w:rsid w:val="0462668B"/>
    <w:rsid w:val="046C12B8"/>
    <w:rsid w:val="04812FB5"/>
    <w:rsid w:val="04826D2E"/>
    <w:rsid w:val="04874841"/>
    <w:rsid w:val="049F51EA"/>
    <w:rsid w:val="04A04673"/>
    <w:rsid w:val="04AD3DAA"/>
    <w:rsid w:val="04AF0DC0"/>
    <w:rsid w:val="04B35139"/>
    <w:rsid w:val="04B96602"/>
    <w:rsid w:val="04CE3D21"/>
    <w:rsid w:val="04CF03DE"/>
    <w:rsid w:val="04D330E5"/>
    <w:rsid w:val="04DE27BE"/>
    <w:rsid w:val="04E23328"/>
    <w:rsid w:val="04E35F2C"/>
    <w:rsid w:val="04E627DB"/>
    <w:rsid w:val="04EB4ECE"/>
    <w:rsid w:val="04FA2D68"/>
    <w:rsid w:val="04FF037E"/>
    <w:rsid w:val="05017C52"/>
    <w:rsid w:val="05171224"/>
    <w:rsid w:val="0523406D"/>
    <w:rsid w:val="053371D4"/>
    <w:rsid w:val="053B700A"/>
    <w:rsid w:val="053C512E"/>
    <w:rsid w:val="05571F68"/>
    <w:rsid w:val="05704DD8"/>
    <w:rsid w:val="058663AA"/>
    <w:rsid w:val="05923AE4"/>
    <w:rsid w:val="05A9381E"/>
    <w:rsid w:val="05AD7DDA"/>
    <w:rsid w:val="05C70E9C"/>
    <w:rsid w:val="05CA3B1B"/>
    <w:rsid w:val="05D40F8A"/>
    <w:rsid w:val="05DB4947"/>
    <w:rsid w:val="05E97CB2"/>
    <w:rsid w:val="05EC445F"/>
    <w:rsid w:val="05F36FE1"/>
    <w:rsid w:val="060D6A3B"/>
    <w:rsid w:val="06193B1E"/>
    <w:rsid w:val="06383C8B"/>
    <w:rsid w:val="06456265"/>
    <w:rsid w:val="065D35AE"/>
    <w:rsid w:val="06621954"/>
    <w:rsid w:val="067508F8"/>
    <w:rsid w:val="069D7E4F"/>
    <w:rsid w:val="06AB0010"/>
    <w:rsid w:val="06AB6FF1"/>
    <w:rsid w:val="06C6067E"/>
    <w:rsid w:val="06D03D80"/>
    <w:rsid w:val="06DF18E2"/>
    <w:rsid w:val="06DF2215"/>
    <w:rsid w:val="06F15AA5"/>
    <w:rsid w:val="06F90600"/>
    <w:rsid w:val="07034156"/>
    <w:rsid w:val="0707497A"/>
    <w:rsid w:val="070D6703"/>
    <w:rsid w:val="072034F0"/>
    <w:rsid w:val="07373DFF"/>
    <w:rsid w:val="07394A3D"/>
    <w:rsid w:val="07416329"/>
    <w:rsid w:val="07501B9E"/>
    <w:rsid w:val="0757624F"/>
    <w:rsid w:val="07591FC8"/>
    <w:rsid w:val="075A7AEE"/>
    <w:rsid w:val="07740BAF"/>
    <w:rsid w:val="07754928"/>
    <w:rsid w:val="07833AB1"/>
    <w:rsid w:val="078A03D3"/>
    <w:rsid w:val="07A07BF6"/>
    <w:rsid w:val="07A31495"/>
    <w:rsid w:val="07A379A3"/>
    <w:rsid w:val="07AB20F7"/>
    <w:rsid w:val="07D93108"/>
    <w:rsid w:val="07E6312F"/>
    <w:rsid w:val="07E850FA"/>
    <w:rsid w:val="082223BA"/>
    <w:rsid w:val="082B0E32"/>
    <w:rsid w:val="0838785B"/>
    <w:rsid w:val="083F0BB7"/>
    <w:rsid w:val="084003D8"/>
    <w:rsid w:val="0845511C"/>
    <w:rsid w:val="087150EF"/>
    <w:rsid w:val="08727C1D"/>
    <w:rsid w:val="087D0B78"/>
    <w:rsid w:val="08892439"/>
    <w:rsid w:val="08894DF6"/>
    <w:rsid w:val="088C3CD7"/>
    <w:rsid w:val="08940DDD"/>
    <w:rsid w:val="08B60D54"/>
    <w:rsid w:val="08C031CE"/>
    <w:rsid w:val="08DD4532"/>
    <w:rsid w:val="08FF26FB"/>
    <w:rsid w:val="0920129B"/>
    <w:rsid w:val="093305F6"/>
    <w:rsid w:val="0935611C"/>
    <w:rsid w:val="095011A8"/>
    <w:rsid w:val="095C7B4D"/>
    <w:rsid w:val="096B066B"/>
    <w:rsid w:val="09823E4D"/>
    <w:rsid w:val="098470A4"/>
    <w:rsid w:val="098852A8"/>
    <w:rsid w:val="099668FC"/>
    <w:rsid w:val="09A06B78"/>
    <w:rsid w:val="09B42894"/>
    <w:rsid w:val="09B71227"/>
    <w:rsid w:val="09E33DCA"/>
    <w:rsid w:val="09E57B43"/>
    <w:rsid w:val="09EA3E64"/>
    <w:rsid w:val="0A075D0B"/>
    <w:rsid w:val="0A123F9D"/>
    <w:rsid w:val="0A2C5771"/>
    <w:rsid w:val="0A2F7010"/>
    <w:rsid w:val="0A3B7763"/>
    <w:rsid w:val="0A4B18CE"/>
    <w:rsid w:val="0A601059"/>
    <w:rsid w:val="0A60541B"/>
    <w:rsid w:val="0A652A31"/>
    <w:rsid w:val="0A6C2012"/>
    <w:rsid w:val="0A8A4B12"/>
    <w:rsid w:val="0A956C2C"/>
    <w:rsid w:val="0A981059"/>
    <w:rsid w:val="0AA90B70"/>
    <w:rsid w:val="0AA95014"/>
    <w:rsid w:val="0AAF0151"/>
    <w:rsid w:val="0AB2170F"/>
    <w:rsid w:val="0AB25DFE"/>
    <w:rsid w:val="0ABA0FCF"/>
    <w:rsid w:val="0AC800D5"/>
    <w:rsid w:val="0AD32091"/>
    <w:rsid w:val="0AD55E09"/>
    <w:rsid w:val="0AD81455"/>
    <w:rsid w:val="0ADD081A"/>
    <w:rsid w:val="0AFA19A7"/>
    <w:rsid w:val="0B00275A"/>
    <w:rsid w:val="0B0264D2"/>
    <w:rsid w:val="0B0B182B"/>
    <w:rsid w:val="0B181252"/>
    <w:rsid w:val="0B1D330C"/>
    <w:rsid w:val="0B1F52D6"/>
    <w:rsid w:val="0B2428ED"/>
    <w:rsid w:val="0B2543AA"/>
    <w:rsid w:val="0B293A5F"/>
    <w:rsid w:val="0B550CF8"/>
    <w:rsid w:val="0B5B4493"/>
    <w:rsid w:val="0B61144B"/>
    <w:rsid w:val="0B651CEF"/>
    <w:rsid w:val="0B664CB3"/>
    <w:rsid w:val="0B753148"/>
    <w:rsid w:val="0B776EC0"/>
    <w:rsid w:val="0B7A075E"/>
    <w:rsid w:val="0B7D02A4"/>
    <w:rsid w:val="0B971310"/>
    <w:rsid w:val="0BA31A63"/>
    <w:rsid w:val="0BA61553"/>
    <w:rsid w:val="0BAE21B6"/>
    <w:rsid w:val="0BB43039"/>
    <w:rsid w:val="0BB51797"/>
    <w:rsid w:val="0BB579E9"/>
    <w:rsid w:val="0BBC3492"/>
    <w:rsid w:val="0BC32105"/>
    <w:rsid w:val="0BD51E39"/>
    <w:rsid w:val="0BEB51B8"/>
    <w:rsid w:val="0BF027CF"/>
    <w:rsid w:val="0BF24799"/>
    <w:rsid w:val="0C040028"/>
    <w:rsid w:val="0C0F534B"/>
    <w:rsid w:val="0C1741FF"/>
    <w:rsid w:val="0C236700"/>
    <w:rsid w:val="0C275A89"/>
    <w:rsid w:val="0C2841F3"/>
    <w:rsid w:val="0C364685"/>
    <w:rsid w:val="0C3A618D"/>
    <w:rsid w:val="0C3B6140"/>
    <w:rsid w:val="0C3C461F"/>
    <w:rsid w:val="0C3D2B4F"/>
    <w:rsid w:val="0C4A74F8"/>
    <w:rsid w:val="0C7451AE"/>
    <w:rsid w:val="0C774C9E"/>
    <w:rsid w:val="0C811679"/>
    <w:rsid w:val="0C8223BE"/>
    <w:rsid w:val="0C825B1D"/>
    <w:rsid w:val="0CAA451C"/>
    <w:rsid w:val="0CAA6E21"/>
    <w:rsid w:val="0CAF4438"/>
    <w:rsid w:val="0CB97065"/>
    <w:rsid w:val="0CBB5882"/>
    <w:rsid w:val="0CC2761A"/>
    <w:rsid w:val="0CC954FA"/>
    <w:rsid w:val="0CCD48BE"/>
    <w:rsid w:val="0CCD7C46"/>
    <w:rsid w:val="0CD10852"/>
    <w:rsid w:val="0CD143AE"/>
    <w:rsid w:val="0CD36378"/>
    <w:rsid w:val="0CDB6FDB"/>
    <w:rsid w:val="0CDE6ACB"/>
    <w:rsid w:val="0CFB767D"/>
    <w:rsid w:val="0D10137A"/>
    <w:rsid w:val="0D335069"/>
    <w:rsid w:val="0D3C216F"/>
    <w:rsid w:val="0D4E59FF"/>
    <w:rsid w:val="0D5154EF"/>
    <w:rsid w:val="0D531CDF"/>
    <w:rsid w:val="0D6351F7"/>
    <w:rsid w:val="0D660F9A"/>
    <w:rsid w:val="0D66653A"/>
    <w:rsid w:val="0D674D12"/>
    <w:rsid w:val="0D766D04"/>
    <w:rsid w:val="0D7A4A46"/>
    <w:rsid w:val="0D86163D"/>
    <w:rsid w:val="0D9A50E8"/>
    <w:rsid w:val="0D9F26FE"/>
    <w:rsid w:val="0DA9532B"/>
    <w:rsid w:val="0DCA3125"/>
    <w:rsid w:val="0DCD4B67"/>
    <w:rsid w:val="0DD51C7C"/>
    <w:rsid w:val="0DD57ECE"/>
    <w:rsid w:val="0DDE4FD5"/>
    <w:rsid w:val="0E15651D"/>
    <w:rsid w:val="0E211365"/>
    <w:rsid w:val="0E237C1F"/>
    <w:rsid w:val="0E2449B2"/>
    <w:rsid w:val="0E2A646C"/>
    <w:rsid w:val="0E2F5830"/>
    <w:rsid w:val="0E416A77"/>
    <w:rsid w:val="0E56605E"/>
    <w:rsid w:val="0E5C2657"/>
    <w:rsid w:val="0E5C7CE8"/>
    <w:rsid w:val="0E6652FE"/>
    <w:rsid w:val="0E87566C"/>
    <w:rsid w:val="0E8C4A31"/>
    <w:rsid w:val="0EA245DA"/>
    <w:rsid w:val="0EA34036"/>
    <w:rsid w:val="0EB049DF"/>
    <w:rsid w:val="0EB63F9D"/>
    <w:rsid w:val="0ED03474"/>
    <w:rsid w:val="0ED14B39"/>
    <w:rsid w:val="0EDA79E4"/>
    <w:rsid w:val="0EDD528C"/>
    <w:rsid w:val="0EEF3211"/>
    <w:rsid w:val="0EF425D6"/>
    <w:rsid w:val="0EF77D11"/>
    <w:rsid w:val="0EFA06A7"/>
    <w:rsid w:val="0F022F45"/>
    <w:rsid w:val="0F037D8A"/>
    <w:rsid w:val="0F072309"/>
    <w:rsid w:val="0F182768"/>
    <w:rsid w:val="0F227C07"/>
    <w:rsid w:val="0F245037"/>
    <w:rsid w:val="0F44355D"/>
    <w:rsid w:val="0F44530B"/>
    <w:rsid w:val="0F490B74"/>
    <w:rsid w:val="0F4C0664"/>
    <w:rsid w:val="0F54794B"/>
    <w:rsid w:val="0F5512C6"/>
    <w:rsid w:val="0F601A19"/>
    <w:rsid w:val="0F692FC4"/>
    <w:rsid w:val="0F6A354E"/>
    <w:rsid w:val="0F6E05DA"/>
    <w:rsid w:val="0F716E95"/>
    <w:rsid w:val="0F88478D"/>
    <w:rsid w:val="0F9F2542"/>
    <w:rsid w:val="0FA1450C"/>
    <w:rsid w:val="0FA20284"/>
    <w:rsid w:val="0FB32491"/>
    <w:rsid w:val="0FB73DA5"/>
    <w:rsid w:val="0FC419ED"/>
    <w:rsid w:val="0FC4644C"/>
    <w:rsid w:val="0FCE37C4"/>
    <w:rsid w:val="0FD61CDB"/>
    <w:rsid w:val="0FDE2587"/>
    <w:rsid w:val="0FE32D76"/>
    <w:rsid w:val="0FEE5277"/>
    <w:rsid w:val="10014FAA"/>
    <w:rsid w:val="10042CED"/>
    <w:rsid w:val="10093E5F"/>
    <w:rsid w:val="101B0BC4"/>
    <w:rsid w:val="101F18D4"/>
    <w:rsid w:val="103649EC"/>
    <w:rsid w:val="103A04BC"/>
    <w:rsid w:val="103D1392"/>
    <w:rsid w:val="1040315F"/>
    <w:rsid w:val="10507757"/>
    <w:rsid w:val="105E23FD"/>
    <w:rsid w:val="10643D62"/>
    <w:rsid w:val="106E2498"/>
    <w:rsid w:val="107734BE"/>
    <w:rsid w:val="107A1082"/>
    <w:rsid w:val="109951E3"/>
    <w:rsid w:val="109E7189"/>
    <w:rsid w:val="10AF4A06"/>
    <w:rsid w:val="10BC7123"/>
    <w:rsid w:val="10C72BB3"/>
    <w:rsid w:val="10D97CD5"/>
    <w:rsid w:val="10DF3F4E"/>
    <w:rsid w:val="10E02E12"/>
    <w:rsid w:val="10E32902"/>
    <w:rsid w:val="10EC17B7"/>
    <w:rsid w:val="10F42D61"/>
    <w:rsid w:val="10F90377"/>
    <w:rsid w:val="10FD0DB8"/>
    <w:rsid w:val="110513FF"/>
    <w:rsid w:val="11182ACF"/>
    <w:rsid w:val="11380DED"/>
    <w:rsid w:val="114A0BD3"/>
    <w:rsid w:val="11513438"/>
    <w:rsid w:val="115206FB"/>
    <w:rsid w:val="11531DCE"/>
    <w:rsid w:val="115F642C"/>
    <w:rsid w:val="11621A79"/>
    <w:rsid w:val="117479FE"/>
    <w:rsid w:val="117619C8"/>
    <w:rsid w:val="11916802"/>
    <w:rsid w:val="11AC7198"/>
    <w:rsid w:val="11B40613"/>
    <w:rsid w:val="11B5429E"/>
    <w:rsid w:val="11BB73DB"/>
    <w:rsid w:val="11BC7BEB"/>
    <w:rsid w:val="11BE2022"/>
    <w:rsid w:val="11C95F9C"/>
    <w:rsid w:val="11CB1CF2"/>
    <w:rsid w:val="11D24E50"/>
    <w:rsid w:val="11D83EA2"/>
    <w:rsid w:val="11DA1F57"/>
    <w:rsid w:val="11FA6155"/>
    <w:rsid w:val="1209283C"/>
    <w:rsid w:val="12211934"/>
    <w:rsid w:val="122510EE"/>
    <w:rsid w:val="12323B41"/>
    <w:rsid w:val="123757B7"/>
    <w:rsid w:val="12405481"/>
    <w:rsid w:val="124B4C03"/>
    <w:rsid w:val="124E4861"/>
    <w:rsid w:val="12525F91"/>
    <w:rsid w:val="12597320"/>
    <w:rsid w:val="125D0965"/>
    <w:rsid w:val="12837EE6"/>
    <w:rsid w:val="128D1331"/>
    <w:rsid w:val="12A32349"/>
    <w:rsid w:val="12C1355D"/>
    <w:rsid w:val="12EA1EE6"/>
    <w:rsid w:val="12EF7289"/>
    <w:rsid w:val="12F47048"/>
    <w:rsid w:val="130059ED"/>
    <w:rsid w:val="13330CAC"/>
    <w:rsid w:val="1336140F"/>
    <w:rsid w:val="133D279D"/>
    <w:rsid w:val="133D7CD4"/>
    <w:rsid w:val="1340228E"/>
    <w:rsid w:val="13426006"/>
    <w:rsid w:val="134D0507"/>
    <w:rsid w:val="134D5A81"/>
    <w:rsid w:val="134E49AB"/>
    <w:rsid w:val="138228A6"/>
    <w:rsid w:val="138569A7"/>
    <w:rsid w:val="139B3968"/>
    <w:rsid w:val="13AC42B6"/>
    <w:rsid w:val="13B14F39"/>
    <w:rsid w:val="13BF6991"/>
    <w:rsid w:val="13C407C9"/>
    <w:rsid w:val="13D604FC"/>
    <w:rsid w:val="13F03DED"/>
    <w:rsid w:val="13F95DC4"/>
    <w:rsid w:val="14101C60"/>
    <w:rsid w:val="141D25CF"/>
    <w:rsid w:val="141F6347"/>
    <w:rsid w:val="142A3E2D"/>
    <w:rsid w:val="14302302"/>
    <w:rsid w:val="14327E28"/>
    <w:rsid w:val="14382F65"/>
    <w:rsid w:val="14432035"/>
    <w:rsid w:val="144731A8"/>
    <w:rsid w:val="144A7973"/>
    <w:rsid w:val="145A737F"/>
    <w:rsid w:val="1461070D"/>
    <w:rsid w:val="146D0E60"/>
    <w:rsid w:val="146E6986"/>
    <w:rsid w:val="14757DAD"/>
    <w:rsid w:val="147F6DE6"/>
    <w:rsid w:val="148461AA"/>
    <w:rsid w:val="14902DA1"/>
    <w:rsid w:val="14977C8B"/>
    <w:rsid w:val="14991C55"/>
    <w:rsid w:val="14C111AC"/>
    <w:rsid w:val="14C20A0A"/>
    <w:rsid w:val="14CF5677"/>
    <w:rsid w:val="14D013EF"/>
    <w:rsid w:val="14D233B9"/>
    <w:rsid w:val="14D7452C"/>
    <w:rsid w:val="14E5758A"/>
    <w:rsid w:val="14EA0703"/>
    <w:rsid w:val="14F21366"/>
    <w:rsid w:val="14FB7DA2"/>
    <w:rsid w:val="15007F26"/>
    <w:rsid w:val="152139F9"/>
    <w:rsid w:val="15227E9D"/>
    <w:rsid w:val="1527341D"/>
    <w:rsid w:val="154D1B14"/>
    <w:rsid w:val="15567E44"/>
    <w:rsid w:val="15597637"/>
    <w:rsid w:val="155B2C1B"/>
    <w:rsid w:val="157B3BCD"/>
    <w:rsid w:val="157B75AD"/>
    <w:rsid w:val="15804BC3"/>
    <w:rsid w:val="158710F3"/>
    <w:rsid w:val="15910B7E"/>
    <w:rsid w:val="159D5775"/>
    <w:rsid w:val="15A56870"/>
    <w:rsid w:val="15BC1451"/>
    <w:rsid w:val="15C772F3"/>
    <w:rsid w:val="15CE4C34"/>
    <w:rsid w:val="15D74EDE"/>
    <w:rsid w:val="15DA0777"/>
    <w:rsid w:val="15F0775C"/>
    <w:rsid w:val="15F70FBB"/>
    <w:rsid w:val="160A0AD0"/>
    <w:rsid w:val="160B2E80"/>
    <w:rsid w:val="163D0D06"/>
    <w:rsid w:val="16401732"/>
    <w:rsid w:val="165B6F79"/>
    <w:rsid w:val="165F0C7D"/>
    <w:rsid w:val="166938A9"/>
    <w:rsid w:val="166E5EB0"/>
    <w:rsid w:val="167209B0"/>
    <w:rsid w:val="169721C5"/>
    <w:rsid w:val="16AE750E"/>
    <w:rsid w:val="16BB14DA"/>
    <w:rsid w:val="16C01EAE"/>
    <w:rsid w:val="16CA7F8A"/>
    <w:rsid w:val="16CF1C64"/>
    <w:rsid w:val="16CF5E02"/>
    <w:rsid w:val="16E573D4"/>
    <w:rsid w:val="16EB42BE"/>
    <w:rsid w:val="16F214B3"/>
    <w:rsid w:val="16F50974"/>
    <w:rsid w:val="17017F86"/>
    <w:rsid w:val="173E0892"/>
    <w:rsid w:val="174560C4"/>
    <w:rsid w:val="17547C85"/>
    <w:rsid w:val="1759391E"/>
    <w:rsid w:val="176127D3"/>
    <w:rsid w:val="17681DB3"/>
    <w:rsid w:val="177A195D"/>
    <w:rsid w:val="177B5642"/>
    <w:rsid w:val="1791130A"/>
    <w:rsid w:val="17982698"/>
    <w:rsid w:val="17A50911"/>
    <w:rsid w:val="17BC0C46"/>
    <w:rsid w:val="17D67E1B"/>
    <w:rsid w:val="17E50036"/>
    <w:rsid w:val="17EA0A1A"/>
    <w:rsid w:val="17F35B20"/>
    <w:rsid w:val="17F65611"/>
    <w:rsid w:val="18095344"/>
    <w:rsid w:val="181F6915"/>
    <w:rsid w:val="1820060E"/>
    <w:rsid w:val="18205BA9"/>
    <w:rsid w:val="182E5BF8"/>
    <w:rsid w:val="18370FAA"/>
    <w:rsid w:val="18414ADE"/>
    <w:rsid w:val="18441ED8"/>
    <w:rsid w:val="1872095F"/>
    <w:rsid w:val="1876405C"/>
    <w:rsid w:val="187D53EA"/>
    <w:rsid w:val="188D7D42"/>
    <w:rsid w:val="188F7A9E"/>
    <w:rsid w:val="189015C1"/>
    <w:rsid w:val="1890464C"/>
    <w:rsid w:val="18910E95"/>
    <w:rsid w:val="189B7EFC"/>
    <w:rsid w:val="18B03A11"/>
    <w:rsid w:val="18BF1EA7"/>
    <w:rsid w:val="18C179CD"/>
    <w:rsid w:val="18C272A1"/>
    <w:rsid w:val="18C45643"/>
    <w:rsid w:val="18C64FE3"/>
    <w:rsid w:val="18C94AD3"/>
    <w:rsid w:val="18CB084B"/>
    <w:rsid w:val="18D74616"/>
    <w:rsid w:val="18E35B95"/>
    <w:rsid w:val="18ED07C2"/>
    <w:rsid w:val="18F51424"/>
    <w:rsid w:val="190E24E6"/>
    <w:rsid w:val="19173A91"/>
    <w:rsid w:val="192561AE"/>
    <w:rsid w:val="1934019F"/>
    <w:rsid w:val="19362169"/>
    <w:rsid w:val="19371A3D"/>
    <w:rsid w:val="194A5C14"/>
    <w:rsid w:val="19520625"/>
    <w:rsid w:val="19540841"/>
    <w:rsid w:val="19575882"/>
    <w:rsid w:val="195E155B"/>
    <w:rsid w:val="196A3BC0"/>
    <w:rsid w:val="197321D5"/>
    <w:rsid w:val="1977452F"/>
    <w:rsid w:val="198540F4"/>
    <w:rsid w:val="19921369"/>
    <w:rsid w:val="199450E1"/>
    <w:rsid w:val="19A90B8D"/>
    <w:rsid w:val="19AC1C8E"/>
    <w:rsid w:val="19B65058"/>
    <w:rsid w:val="19D11E91"/>
    <w:rsid w:val="19DF45AE"/>
    <w:rsid w:val="19E13325"/>
    <w:rsid w:val="1A02029D"/>
    <w:rsid w:val="1A0538E9"/>
    <w:rsid w:val="1A0C41D1"/>
    <w:rsid w:val="1A1D50D7"/>
    <w:rsid w:val="1A1E49AB"/>
    <w:rsid w:val="1A2C70C8"/>
    <w:rsid w:val="1A2E4BEE"/>
    <w:rsid w:val="1A336BE7"/>
    <w:rsid w:val="1A367F46"/>
    <w:rsid w:val="1A4240A2"/>
    <w:rsid w:val="1A554870"/>
    <w:rsid w:val="1A612D7C"/>
    <w:rsid w:val="1A6C3968"/>
    <w:rsid w:val="1A770669"/>
    <w:rsid w:val="1A7F6A7E"/>
    <w:rsid w:val="1A807E72"/>
    <w:rsid w:val="1A8A2A47"/>
    <w:rsid w:val="1A9A77F6"/>
    <w:rsid w:val="1AA43102"/>
    <w:rsid w:val="1AA72BF2"/>
    <w:rsid w:val="1AC63078"/>
    <w:rsid w:val="1ACD08AB"/>
    <w:rsid w:val="1AD82DAC"/>
    <w:rsid w:val="1AF112C0"/>
    <w:rsid w:val="1AF44089"/>
    <w:rsid w:val="1B0342CC"/>
    <w:rsid w:val="1B03607B"/>
    <w:rsid w:val="1B063DBD"/>
    <w:rsid w:val="1B16166A"/>
    <w:rsid w:val="1B32070E"/>
    <w:rsid w:val="1B356450"/>
    <w:rsid w:val="1B3C158C"/>
    <w:rsid w:val="1B5543FC"/>
    <w:rsid w:val="1B5B5EB7"/>
    <w:rsid w:val="1B632FBD"/>
    <w:rsid w:val="1B6B446E"/>
    <w:rsid w:val="1B6F1962"/>
    <w:rsid w:val="1B8F3DB2"/>
    <w:rsid w:val="1B9211AC"/>
    <w:rsid w:val="1BB93E83"/>
    <w:rsid w:val="1BC644B6"/>
    <w:rsid w:val="1BCA6B98"/>
    <w:rsid w:val="1C0F0A4F"/>
    <w:rsid w:val="1C613AB1"/>
    <w:rsid w:val="1C763D6F"/>
    <w:rsid w:val="1C8C0466"/>
    <w:rsid w:val="1C913B5A"/>
    <w:rsid w:val="1CA613B3"/>
    <w:rsid w:val="1CC7757C"/>
    <w:rsid w:val="1CC854C2"/>
    <w:rsid w:val="1CC932F4"/>
    <w:rsid w:val="1CF86BD6"/>
    <w:rsid w:val="1CF9709D"/>
    <w:rsid w:val="1CFA2A97"/>
    <w:rsid w:val="1D0121D0"/>
    <w:rsid w:val="1D091942"/>
    <w:rsid w:val="1D214EDE"/>
    <w:rsid w:val="1D3A5FA0"/>
    <w:rsid w:val="1D3C1D18"/>
    <w:rsid w:val="1D475157"/>
    <w:rsid w:val="1D5B524F"/>
    <w:rsid w:val="1D660B43"/>
    <w:rsid w:val="1D686669"/>
    <w:rsid w:val="1D6D3522"/>
    <w:rsid w:val="1D78777C"/>
    <w:rsid w:val="1D8D4321"/>
    <w:rsid w:val="1DAA4ED3"/>
    <w:rsid w:val="1DAB5588"/>
    <w:rsid w:val="1DC51D0D"/>
    <w:rsid w:val="1DC55869"/>
    <w:rsid w:val="1DD72694"/>
    <w:rsid w:val="1DDD518B"/>
    <w:rsid w:val="1DDE1DE9"/>
    <w:rsid w:val="1DDE2DCF"/>
    <w:rsid w:val="1DE303E5"/>
    <w:rsid w:val="1DFA7416"/>
    <w:rsid w:val="1E004AF3"/>
    <w:rsid w:val="1E1D38F7"/>
    <w:rsid w:val="1E1E141D"/>
    <w:rsid w:val="1E214A6A"/>
    <w:rsid w:val="1E2527AC"/>
    <w:rsid w:val="1E3E1D2D"/>
    <w:rsid w:val="1E4E4AEA"/>
    <w:rsid w:val="1E562965"/>
    <w:rsid w:val="1E617C32"/>
    <w:rsid w:val="1E7B6870"/>
    <w:rsid w:val="1E8E65A3"/>
    <w:rsid w:val="1E9811D0"/>
    <w:rsid w:val="1E9A18CE"/>
    <w:rsid w:val="1EA164D8"/>
    <w:rsid w:val="1EAB0F03"/>
    <w:rsid w:val="1EC57AEB"/>
    <w:rsid w:val="1EC73DFD"/>
    <w:rsid w:val="1ED61CF8"/>
    <w:rsid w:val="1EF53F2C"/>
    <w:rsid w:val="1EFD5795"/>
    <w:rsid w:val="1F1958B8"/>
    <w:rsid w:val="1F274302"/>
    <w:rsid w:val="1F2962CC"/>
    <w:rsid w:val="1F3C5FFF"/>
    <w:rsid w:val="1F474868"/>
    <w:rsid w:val="1F525822"/>
    <w:rsid w:val="1F5817D8"/>
    <w:rsid w:val="1F7312F5"/>
    <w:rsid w:val="1F792DAF"/>
    <w:rsid w:val="1F883C9F"/>
    <w:rsid w:val="1F971592"/>
    <w:rsid w:val="1FA2402F"/>
    <w:rsid w:val="1FA667A7"/>
    <w:rsid w:val="1FA927C1"/>
    <w:rsid w:val="1FA94D17"/>
    <w:rsid w:val="1FB21E1D"/>
    <w:rsid w:val="1FB94E27"/>
    <w:rsid w:val="1FD55B8C"/>
    <w:rsid w:val="1FE57CFE"/>
    <w:rsid w:val="1FEA15B7"/>
    <w:rsid w:val="1FEA5A5B"/>
    <w:rsid w:val="1FEF3071"/>
    <w:rsid w:val="1FF41576"/>
    <w:rsid w:val="1FF42436"/>
    <w:rsid w:val="1FFC578E"/>
    <w:rsid w:val="200A3A73"/>
    <w:rsid w:val="20114E34"/>
    <w:rsid w:val="20146634"/>
    <w:rsid w:val="202A22FB"/>
    <w:rsid w:val="202F7912"/>
    <w:rsid w:val="204333BD"/>
    <w:rsid w:val="20435C8D"/>
    <w:rsid w:val="204C04C4"/>
    <w:rsid w:val="204C4020"/>
    <w:rsid w:val="20573B7B"/>
    <w:rsid w:val="20582A63"/>
    <w:rsid w:val="2059673D"/>
    <w:rsid w:val="208337BA"/>
    <w:rsid w:val="20AF20C5"/>
    <w:rsid w:val="20B63B8F"/>
    <w:rsid w:val="20B70DF8"/>
    <w:rsid w:val="20CC33B3"/>
    <w:rsid w:val="20EB717A"/>
    <w:rsid w:val="20ED7306"/>
    <w:rsid w:val="20F96916"/>
    <w:rsid w:val="211106C5"/>
    <w:rsid w:val="21431785"/>
    <w:rsid w:val="214E201A"/>
    <w:rsid w:val="217C0935"/>
    <w:rsid w:val="21871088"/>
    <w:rsid w:val="219E251A"/>
    <w:rsid w:val="219E4D4F"/>
    <w:rsid w:val="21A11ADD"/>
    <w:rsid w:val="21BF4CC5"/>
    <w:rsid w:val="21C24F4B"/>
    <w:rsid w:val="21CA5B44"/>
    <w:rsid w:val="21D97B35"/>
    <w:rsid w:val="21DF0EC4"/>
    <w:rsid w:val="21E07116"/>
    <w:rsid w:val="21E8421C"/>
    <w:rsid w:val="21EB5ABA"/>
    <w:rsid w:val="21F7445F"/>
    <w:rsid w:val="21F81AB3"/>
    <w:rsid w:val="21FF009E"/>
    <w:rsid w:val="22071464"/>
    <w:rsid w:val="22192627"/>
    <w:rsid w:val="221E379A"/>
    <w:rsid w:val="2228094B"/>
    <w:rsid w:val="22283C9F"/>
    <w:rsid w:val="2232235C"/>
    <w:rsid w:val="223B434C"/>
    <w:rsid w:val="22421B7E"/>
    <w:rsid w:val="22433200"/>
    <w:rsid w:val="224539EC"/>
    <w:rsid w:val="224F39EF"/>
    <w:rsid w:val="2250591D"/>
    <w:rsid w:val="225673D8"/>
    <w:rsid w:val="22573150"/>
    <w:rsid w:val="22596EC8"/>
    <w:rsid w:val="2268710B"/>
    <w:rsid w:val="22AF0896"/>
    <w:rsid w:val="22B440FE"/>
    <w:rsid w:val="22D84291"/>
    <w:rsid w:val="22EE13BE"/>
    <w:rsid w:val="22FA4207"/>
    <w:rsid w:val="22FF52F7"/>
    <w:rsid w:val="23291785"/>
    <w:rsid w:val="2339674C"/>
    <w:rsid w:val="23411E36"/>
    <w:rsid w:val="234C2589"/>
    <w:rsid w:val="23517B9F"/>
    <w:rsid w:val="236E69A3"/>
    <w:rsid w:val="23710488"/>
    <w:rsid w:val="2381304A"/>
    <w:rsid w:val="23882C22"/>
    <w:rsid w:val="23A7789F"/>
    <w:rsid w:val="23B26890"/>
    <w:rsid w:val="23BB002C"/>
    <w:rsid w:val="23C130E3"/>
    <w:rsid w:val="23C33515"/>
    <w:rsid w:val="23C91E2B"/>
    <w:rsid w:val="23D26F32"/>
    <w:rsid w:val="23DC390D"/>
    <w:rsid w:val="23EA427B"/>
    <w:rsid w:val="23F073B8"/>
    <w:rsid w:val="23F1680C"/>
    <w:rsid w:val="23F8626D"/>
    <w:rsid w:val="24054E77"/>
    <w:rsid w:val="242D23BA"/>
    <w:rsid w:val="242E494F"/>
    <w:rsid w:val="24305BD3"/>
    <w:rsid w:val="243E15D5"/>
    <w:rsid w:val="2446522A"/>
    <w:rsid w:val="24521E21"/>
    <w:rsid w:val="2452597D"/>
    <w:rsid w:val="24543144"/>
    <w:rsid w:val="24551238"/>
    <w:rsid w:val="24594F5D"/>
    <w:rsid w:val="2467687B"/>
    <w:rsid w:val="247B3126"/>
    <w:rsid w:val="247D50F0"/>
    <w:rsid w:val="248E2DBA"/>
    <w:rsid w:val="249E5066"/>
    <w:rsid w:val="24AA3A0B"/>
    <w:rsid w:val="24BE3012"/>
    <w:rsid w:val="24BE74B6"/>
    <w:rsid w:val="24CE594B"/>
    <w:rsid w:val="24CF6FCD"/>
    <w:rsid w:val="24FF3D57"/>
    <w:rsid w:val="251B66B7"/>
    <w:rsid w:val="25224672"/>
    <w:rsid w:val="25250089"/>
    <w:rsid w:val="25252A8D"/>
    <w:rsid w:val="2527505B"/>
    <w:rsid w:val="253164BE"/>
    <w:rsid w:val="25396B3D"/>
    <w:rsid w:val="25455E14"/>
    <w:rsid w:val="255B2F57"/>
    <w:rsid w:val="25643BBA"/>
    <w:rsid w:val="256C0CC0"/>
    <w:rsid w:val="25726C30"/>
    <w:rsid w:val="25757B75"/>
    <w:rsid w:val="25891872"/>
    <w:rsid w:val="2599710C"/>
    <w:rsid w:val="259C77F7"/>
    <w:rsid w:val="259F1096"/>
    <w:rsid w:val="25A67057"/>
    <w:rsid w:val="25A95A70"/>
    <w:rsid w:val="25AA0A48"/>
    <w:rsid w:val="25D54115"/>
    <w:rsid w:val="25F72F27"/>
    <w:rsid w:val="2601765A"/>
    <w:rsid w:val="260D4251"/>
    <w:rsid w:val="260F4C55"/>
    <w:rsid w:val="26112CDF"/>
    <w:rsid w:val="261F21D6"/>
    <w:rsid w:val="26291B1A"/>
    <w:rsid w:val="262D66A1"/>
    <w:rsid w:val="264834DB"/>
    <w:rsid w:val="265359DC"/>
    <w:rsid w:val="265A320F"/>
    <w:rsid w:val="265F5A81"/>
    <w:rsid w:val="2661634B"/>
    <w:rsid w:val="26712A32"/>
    <w:rsid w:val="26722306"/>
    <w:rsid w:val="26763E6F"/>
    <w:rsid w:val="267C3983"/>
    <w:rsid w:val="26A85D28"/>
    <w:rsid w:val="26B741BD"/>
    <w:rsid w:val="26BB1EFF"/>
    <w:rsid w:val="26D20FF7"/>
    <w:rsid w:val="26D82BDE"/>
    <w:rsid w:val="26DE5BEE"/>
    <w:rsid w:val="26DF652C"/>
    <w:rsid w:val="26E159E4"/>
    <w:rsid w:val="26E21545"/>
    <w:rsid w:val="26E256DE"/>
    <w:rsid w:val="26E72CF4"/>
    <w:rsid w:val="26E825C8"/>
    <w:rsid w:val="26EB0757"/>
    <w:rsid w:val="26F121F0"/>
    <w:rsid w:val="26F45411"/>
    <w:rsid w:val="270101AC"/>
    <w:rsid w:val="27127645"/>
    <w:rsid w:val="2719451E"/>
    <w:rsid w:val="271C2272"/>
    <w:rsid w:val="27225ADA"/>
    <w:rsid w:val="274D71B2"/>
    <w:rsid w:val="2751147F"/>
    <w:rsid w:val="275A1718"/>
    <w:rsid w:val="275D6B12"/>
    <w:rsid w:val="276B56D3"/>
    <w:rsid w:val="27706CF6"/>
    <w:rsid w:val="27734588"/>
    <w:rsid w:val="279C6957"/>
    <w:rsid w:val="27B16E5E"/>
    <w:rsid w:val="27BE0330"/>
    <w:rsid w:val="27C3684B"/>
    <w:rsid w:val="27C60B5C"/>
    <w:rsid w:val="27C748D4"/>
    <w:rsid w:val="27D32B77"/>
    <w:rsid w:val="27DE5929"/>
    <w:rsid w:val="27E14C4C"/>
    <w:rsid w:val="27E2077A"/>
    <w:rsid w:val="27E86D24"/>
    <w:rsid w:val="27F31225"/>
    <w:rsid w:val="27F356C9"/>
    <w:rsid w:val="280B2A12"/>
    <w:rsid w:val="28123153"/>
    <w:rsid w:val="28123DA1"/>
    <w:rsid w:val="28153891"/>
    <w:rsid w:val="282160D2"/>
    <w:rsid w:val="28243AD4"/>
    <w:rsid w:val="28321D4D"/>
    <w:rsid w:val="284E28FF"/>
    <w:rsid w:val="285443B9"/>
    <w:rsid w:val="286914E7"/>
    <w:rsid w:val="286C62A1"/>
    <w:rsid w:val="28772BE3"/>
    <w:rsid w:val="28892F96"/>
    <w:rsid w:val="288D1215"/>
    <w:rsid w:val="288E0F4E"/>
    <w:rsid w:val="28956780"/>
    <w:rsid w:val="289B1FE8"/>
    <w:rsid w:val="289C17E9"/>
    <w:rsid w:val="28A069B8"/>
    <w:rsid w:val="28A60E5C"/>
    <w:rsid w:val="28AC5FA3"/>
    <w:rsid w:val="28B5472C"/>
    <w:rsid w:val="28C21683"/>
    <w:rsid w:val="28C65A29"/>
    <w:rsid w:val="28CA467C"/>
    <w:rsid w:val="28CA642A"/>
    <w:rsid w:val="28D177B8"/>
    <w:rsid w:val="28D63020"/>
    <w:rsid w:val="28E13773"/>
    <w:rsid w:val="28E66181"/>
    <w:rsid w:val="28F11C08"/>
    <w:rsid w:val="28F416F8"/>
    <w:rsid w:val="28F72971"/>
    <w:rsid w:val="28F9286B"/>
    <w:rsid w:val="29080D00"/>
    <w:rsid w:val="290F3C6E"/>
    <w:rsid w:val="2927387C"/>
    <w:rsid w:val="29361D11"/>
    <w:rsid w:val="293D6BFB"/>
    <w:rsid w:val="2940493E"/>
    <w:rsid w:val="294060C7"/>
    <w:rsid w:val="29491A44"/>
    <w:rsid w:val="295977AD"/>
    <w:rsid w:val="295C4868"/>
    <w:rsid w:val="297D16EE"/>
    <w:rsid w:val="297E2DA6"/>
    <w:rsid w:val="29916F47"/>
    <w:rsid w:val="29954C89"/>
    <w:rsid w:val="29984B18"/>
    <w:rsid w:val="299A22A0"/>
    <w:rsid w:val="29BF1D06"/>
    <w:rsid w:val="29E928DF"/>
    <w:rsid w:val="29F64FFC"/>
    <w:rsid w:val="2A04596B"/>
    <w:rsid w:val="2A102562"/>
    <w:rsid w:val="2A30050E"/>
    <w:rsid w:val="2A3073E0"/>
    <w:rsid w:val="2A336250"/>
    <w:rsid w:val="2A420242"/>
    <w:rsid w:val="2A4346E5"/>
    <w:rsid w:val="2A4D1005"/>
    <w:rsid w:val="2A636B36"/>
    <w:rsid w:val="2A6401B8"/>
    <w:rsid w:val="2A68414C"/>
    <w:rsid w:val="2A6F54DA"/>
    <w:rsid w:val="2A7228D5"/>
    <w:rsid w:val="2A7A3E7F"/>
    <w:rsid w:val="2A7A79DB"/>
    <w:rsid w:val="2A7D5E12"/>
    <w:rsid w:val="2A8652A8"/>
    <w:rsid w:val="2AA131BA"/>
    <w:rsid w:val="2AA333D6"/>
    <w:rsid w:val="2AA54BF9"/>
    <w:rsid w:val="2AAF3B29"/>
    <w:rsid w:val="2AC11AAE"/>
    <w:rsid w:val="2AE35535"/>
    <w:rsid w:val="2AE445FC"/>
    <w:rsid w:val="2AEB06EC"/>
    <w:rsid w:val="2AED63FF"/>
    <w:rsid w:val="2AEF2177"/>
    <w:rsid w:val="2B057BED"/>
    <w:rsid w:val="2B084FE7"/>
    <w:rsid w:val="2B1B2F6C"/>
    <w:rsid w:val="2B1C0A93"/>
    <w:rsid w:val="2B2067D5"/>
    <w:rsid w:val="2B496FA3"/>
    <w:rsid w:val="2B532BFE"/>
    <w:rsid w:val="2B54022C"/>
    <w:rsid w:val="2B65243A"/>
    <w:rsid w:val="2B6A469F"/>
    <w:rsid w:val="2B85488A"/>
    <w:rsid w:val="2B8C3E6A"/>
    <w:rsid w:val="2B9246BC"/>
    <w:rsid w:val="2BAC65A8"/>
    <w:rsid w:val="2BAE2033"/>
    <w:rsid w:val="2BB024B4"/>
    <w:rsid w:val="2BBE7D9C"/>
    <w:rsid w:val="2BC60F98"/>
    <w:rsid w:val="2BCA4992"/>
    <w:rsid w:val="2BCB45F0"/>
    <w:rsid w:val="2BD13FEC"/>
    <w:rsid w:val="2BEB6DE3"/>
    <w:rsid w:val="2BEF7F55"/>
    <w:rsid w:val="2C043A01"/>
    <w:rsid w:val="2C066A1A"/>
    <w:rsid w:val="2C0B4AE6"/>
    <w:rsid w:val="2C1B0D4A"/>
    <w:rsid w:val="2C1F4CDE"/>
    <w:rsid w:val="2C3B319A"/>
    <w:rsid w:val="2C6B1CD2"/>
    <w:rsid w:val="2C74487D"/>
    <w:rsid w:val="2C775033"/>
    <w:rsid w:val="2C7A3CC3"/>
    <w:rsid w:val="2C7C7A3B"/>
    <w:rsid w:val="2C8165FA"/>
    <w:rsid w:val="2C9254B0"/>
    <w:rsid w:val="2C9C632F"/>
    <w:rsid w:val="2CA376BD"/>
    <w:rsid w:val="2CAC7CBD"/>
    <w:rsid w:val="2CBF3DCB"/>
    <w:rsid w:val="2CCC08A3"/>
    <w:rsid w:val="2CCE6F1A"/>
    <w:rsid w:val="2CDD4252"/>
    <w:rsid w:val="2CE51A84"/>
    <w:rsid w:val="2CFA3055"/>
    <w:rsid w:val="2CFC2AB1"/>
    <w:rsid w:val="2D067C4C"/>
    <w:rsid w:val="2D0A514C"/>
    <w:rsid w:val="2D2F30DD"/>
    <w:rsid w:val="2D3F44AA"/>
    <w:rsid w:val="2D7638ED"/>
    <w:rsid w:val="2DB235BF"/>
    <w:rsid w:val="2DBE22D5"/>
    <w:rsid w:val="2DD01EDD"/>
    <w:rsid w:val="2DD613CD"/>
    <w:rsid w:val="2DD65871"/>
    <w:rsid w:val="2DF06932"/>
    <w:rsid w:val="2DFA155F"/>
    <w:rsid w:val="2DFF6B75"/>
    <w:rsid w:val="2E083C79"/>
    <w:rsid w:val="2E334A71"/>
    <w:rsid w:val="2E577392"/>
    <w:rsid w:val="2E5F5866"/>
    <w:rsid w:val="2E60513A"/>
    <w:rsid w:val="2E6B5FB9"/>
    <w:rsid w:val="2E6E6547"/>
    <w:rsid w:val="2E786928"/>
    <w:rsid w:val="2E7A26A0"/>
    <w:rsid w:val="2E8B1B62"/>
    <w:rsid w:val="2E9279E9"/>
    <w:rsid w:val="2E970AE4"/>
    <w:rsid w:val="2E9D638E"/>
    <w:rsid w:val="2E9E76E9"/>
    <w:rsid w:val="2EAE2349"/>
    <w:rsid w:val="2EB227A5"/>
    <w:rsid w:val="2ED2428A"/>
    <w:rsid w:val="2EDE2C2F"/>
    <w:rsid w:val="2EDF2503"/>
    <w:rsid w:val="2EE30245"/>
    <w:rsid w:val="2EE43FBD"/>
    <w:rsid w:val="2F236894"/>
    <w:rsid w:val="2F377CAB"/>
    <w:rsid w:val="2F422FF1"/>
    <w:rsid w:val="2F4862FA"/>
    <w:rsid w:val="2F527179"/>
    <w:rsid w:val="2F5C1DA5"/>
    <w:rsid w:val="2F822BAC"/>
    <w:rsid w:val="2F96630B"/>
    <w:rsid w:val="2F971030"/>
    <w:rsid w:val="2FAC7913"/>
    <w:rsid w:val="2FB37A8B"/>
    <w:rsid w:val="2FB63264"/>
    <w:rsid w:val="2FD47B8E"/>
    <w:rsid w:val="2FDB716E"/>
    <w:rsid w:val="2FF344B8"/>
    <w:rsid w:val="301663F8"/>
    <w:rsid w:val="301F6139"/>
    <w:rsid w:val="302208F9"/>
    <w:rsid w:val="30416F06"/>
    <w:rsid w:val="305331A8"/>
    <w:rsid w:val="30556F21"/>
    <w:rsid w:val="305D5DD5"/>
    <w:rsid w:val="306058C5"/>
    <w:rsid w:val="30641E74"/>
    <w:rsid w:val="30782C0F"/>
    <w:rsid w:val="30810E1D"/>
    <w:rsid w:val="308570DA"/>
    <w:rsid w:val="308E5F8F"/>
    <w:rsid w:val="30A046BE"/>
    <w:rsid w:val="30A77050"/>
    <w:rsid w:val="30AD0B0B"/>
    <w:rsid w:val="30AE4883"/>
    <w:rsid w:val="30B17ECF"/>
    <w:rsid w:val="30BB2AFC"/>
    <w:rsid w:val="30D04E75"/>
    <w:rsid w:val="30D616E4"/>
    <w:rsid w:val="30E262DA"/>
    <w:rsid w:val="30F5600E"/>
    <w:rsid w:val="30F81C13"/>
    <w:rsid w:val="30F97581"/>
    <w:rsid w:val="30FC739C"/>
    <w:rsid w:val="31091AB9"/>
    <w:rsid w:val="311961A0"/>
    <w:rsid w:val="31307AFE"/>
    <w:rsid w:val="31374878"/>
    <w:rsid w:val="313C59EB"/>
    <w:rsid w:val="314256C4"/>
    <w:rsid w:val="31532D34"/>
    <w:rsid w:val="315471D8"/>
    <w:rsid w:val="316E48C8"/>
    <w:rsid w:val="317258B0"/>
    <w:rsid w:val="317A07B3"/>
    <w:rsid w:val="31947CF5"/>
    <w:rsid w:val="31B23EFF"/>
    <w:rsid w:val="31B45EC9"/>
    <w:rsid w:val="31C65637"/>
    <w:rsid w:val="31CA1248"/>
    <w:rsid w:val="31D125D7"/>
    <w:rsid w:val="31D67EB0"/>
    <w:rsid w:val="31DE2F46"/>
    <w:rsid w:val="31F97D80"/>
    <w:rsid w:val="320F4525"/>
    <w:rsid w:val="322A1CE7"/>
    <w:rsid w:val="32317519"/>
    <w:rsid w:val="32384404"/>
    <w:rsid w:val="32417274"/>
    <w:rsid w:val="324234D5"/>
    <w:rsid w:val="32476D3D"/>
    <w:rsid w:val="324A57AF"/>
    <w:rsid w:val="324F5BF1"/>
    <w:rsid w:val="325B4596"/>
    <w:rsid w:val="325D030E"/>
    <w:rsid w:val="326D68D7"/>
    <w:rsid w:val="32737B32"/>
    <w:rsid w:val="32787B12"/>
    <w:rsid w:val="32870971"/>
    <w:rsid w:val="32891103"/>
    <w:rsid w:val="32892EB1"/>
    <w:rsid w:val="329F04E5"/>
    <w:rsid w:val="32A0644D"/>
    <w:rsid w:val="32D54349"/>
    <w:rsid w:val="32D83E39"/>
    <w:rsid w:val="32DC56D7"/>
    <w:rsid w:val="32F9755F"/>
    <w:rsid w:val="330239DE"/>
    <w:rsid w:val="331B2806"/>
    <w:rsid w:val="332901F1"/>
    <w:rsid w:val="332E3A59"/>
    <w:rsid w:val="333214D1"/>
    <w:rsid w:val="3333106F"/>
    <w:rsid w:val="333C7F24"/>
    <w:rsid w:val="33532934"/>
    <w:rsid w:val="33661445"/>
    <w:rsid w:val="336B0809"/>
    <w:rsid w:val="3370495E"/>
    <w:rsid w:val="33743B62"/>
    <w:rsid w:val="33835B53"/>
    <w:rsid w:val="338B0EAB"/>
    <w:rsid w:val="339064C2"/>
    <w:rsid w:val="33957634"/>
    <w:rsid w:val="33A361F5"/>
    <w:rsid w:val="33C5616B"/>
    <w:rsid w:val="33CC0FC6"/>
    <w:rsid w:val="33D44600"/>
    <w:rsid w:val="33DB54F7"/>
    <w:rsid w:val="33DD0EAC"/>
    <w:rsid w:val="33EA5BD2"/>
    <w:rsid w:val="34056568"/>
    <w:rsid w:val="340622E0"/>
    <w:rsid w:val="34143D51"/>
    <w:rsid w:val="34302898"/>
    <w:rsid w:val="343E7CCC"/>
    <w:rsid w:val="345B460B"/>
    <w:rsid w:val="34637732"/>
    <w:rsid w:val="346C2A8B"/>
    <w:rsid w:val="3474193F"/>
    <w:rsid w:val="347B1D25"/>
    <w:rsid w:val="348E2B4F"/>
    <w:rsid w:val="34931DC5"/>
    <w:rsid w:val="34B85CD0"/>
    <w:rsid w:val="34BB4966"/>
    <w:rsid w:val="34BC7FE4"/>
    <w:rsid w:val="34CA4F44"/>
    <w:rsid w:val="34CE72A2"/>
    <w:rsid w:val="34E15227"/>
    <w:rsid w:val="34FB796B"/>
    <w:rsid w:val="3518051D"/>
    <w:rsid w:val="351A24E7"/>
    <w:rsid w:val="351C625F"/>
    <w:rsid w:val="35284F89"/>
    <w:rsid w:val="35285DBF"/>
    <w:rsid w:val="352B46F4"/>
    <w:rsid w:val="35305866"/>
    <w:rsid w:val="35335357"/>
    <w:rsid w:val="3542559A"/>
    <w:rsid w:val="3552084A"/>
    <w:rsid w:val="35661288"/>
    <w:rsid w:val="35973B37"/>
    <w:rsid w:val="35AD335B"/>
    <w:rsid w:val="35B5458F"/>
    <w:rsid w:val="35B91D00"/>
    <w:rsid w:val="35C97D56"/>
    <w:rsid w:val="35CB558F"/>
    <w:rsid w:val="35CD46D8"/>
    <w:rsid w:val="35D54660"/>
    <w:rsid w:val="35EE5D6B"/>
    <w:rsid w:val="36372A1E"/>
    <w:rsid w:val="3637765B"/>
    <w:rsid w:val="363A3F05"/>
    <w:rsid w:val="3652180C"/>
    <w:rsid w:val="365311E6"/>
    <w:rsid w:val="36575075"/>
    <w:rsid w:val="36611AB0"/>
    <w:rsid w:val="367112A8"/>
    <w:rsid w:val="36716136"/>
    <w:rsid w:val="36806379"/>
    <w:rsid w:val="3699743B"/>
    <w:rsid w:val="36A54032"/>
    <w:rsid w:val="36AF3103"/>
    <w:rsid w:val="36B6623F"/>
    <w:rsid w:val="36B9188B"/>
    <w:rsid w:val="36C4095C"/>
    <w:rsid w:val="36E91AB8"/>
    <w:rsid w:val="36EF34FF"/>
    <w:rsid w:val="370B658B"/>
    <w:rsid w:val="370C2303"/>
    <w:rsid w:val="37113475"/>
    <w:rsid w:val="371F755C"/>
    <w:rsid w:val="372907BF"/>
    <w:rsid w:val="37296A11"/>
    <w:rsid w:val="372C4753"/>
    <w:rsid w:val="37305FF2"/>
    <w:rsid w:val="3736112E"/>
    <w:rsid w:val="37403D5B"/>
    <w:rsid w:val="37473FEE"/>
    <w:rsid w:val="375445E4"/>
    <w:rsid w:val="375515B4"/>
    <w:rsid w:val="37555A58"/>
    <w:rsid w:val="375F0685"/>
    <w:rsid w:val="376578FE"/>
    <w:rsid w:val="376964D6"/>
    <w:rsid w:val="377171FB"/>
    <w:rsid w:val="37757EA8"/>
    <w:rsid w:val="378D71CC"/>
    <w:rsid w:val="378E4B8F"/>
    <w:rsid w:val="379C0110"/>
    <w:rsid w:val="379C3619"/>
    <w:rsid w:val="37A4078E"/>
    <w:rsid w:val="37D42E21"/>
    <w:rsid w:val="37F4701F"/>
    <w:rsid w:val="37FA2FBA"/>
    <w:rsid w:val="38123949"/>
    <w:rsid w:val="38190834"/>
    <w:rsid w:val="381E22EE"/>
    <w:rsid w:val="382947EF"/>
    <w:rsid w:val="382F3C9C"/>
    <w:rsid w:val="38312021"/>
    <w:rsid w:val="383513E6"/>
    <w:rsid w:val="383516B3"/>
    <w:rsid w:val="384358B1"/>
    <w:rsid w:val="384653A1"/>
    <w:rsid w:val="384A2F51"/>
    <w:rsid w:val="384F265C"/>
    <w:rsid w:val="385201EA"/>
    <w:rsid w:val="38602906"/>
    <w:rsid w:val="38675A43"/>
    <w:rsid w:val="386A316D"/>
    <w:rsid w:val="387C3364"/>
    <w:rsid w:val="389B2229"/>
    <w:rsid w:val="389B749B"/>
    <w:rsid w:val="38A10829"/>
    <w:rsid w:val="38AE3672"/>
    <w:rsid w:val="38AF2F46"/>
    <w:rsid w:val="38B30C88"/>
    <w:rsid w:val="38B95B73"/>
    <w:rsid w:val="38C509BB"/>
    <w:rsid w:val="38CC73F3"/>
    <w:rsid w:val="38DB1F8D"/>
    <w:rsid w:val="38E452E6"/>
    <w:rsid w:val="38EE7F12"/>
    <w:rsid w:val="39065067"/>
    <w:rsid w:val="39092853"/>
    <w:rsid w:val="391B05DB"/>
    <w:rsid w:val="392456E2"/>
    <w:rsid w:val="393D0552"/>
    <w:rsid w:val="394713D0"/>
    <w:rsid w:val="39557F91"/>
    <w:rsid w:val="39581830"/>
    <w:rsid w:val="395B4E7C"/>
    <w:rsid w:val="395B66C1"/>
    <w:rsid w:val="395E3B0F"/>
    <w:rsid w:val="396E2E01"/>
    <w:rsid w:val="398268AC"/>
    <w:rsid w:val="39842625"/>
    <w:rsid w:val="3986639D"/>
    <w:rsid w:val="39AE15AC"/>
    <w:rsid w:val="39B77370"/>
    <w:rsid w:val="39BC1DBE"/>
    <w:rsid w:val="39C11183"/>
    <w:rsid w:val="39C649EB"/>
    <w:rsid w:val="39E218FD"/>
    <w:rsid w:val="39E83FB4"/>
    <w:rsid w:val="3A153790"/>
    <w:rsid w:val="3A1F11A7"/>
    <w:rsid w:val="3A287454"/>
    <w:rsid w:val="3A3758E9"/>
    <w:rsid w:val="3A3B7187"/>
    <w:rsid w:val="3A4D6EBA"/>
    <w:rsid w:val="3A5D7C47"/>
    <w:rsid w:val="3A751F6D"/>
    <w:rsid w:val="3A86575A"/>
    <w:rsid w:val="3A8B353F"/>
    <w:rsid w:val="3AA30888"/>
    <w:rsid w:val="3AA60379"/>
    <w:rsid w:val="3AC94052"/>
    <w:rsid w:val="3AD0698F"/>
    <w:rsid w:val="3B0A0908"/>
    <w:rsid w:val="3B0F4170"/>
    <w:rsid w:val="3B115AB0"/>
    <w:rsid w:val="3B11613A"/>
    <w:rsid w:val="3B1B48C3"/>
    <w:rsid w:val="3B205CDA"/>
    <w:rsid w:val="3B273268"/>
    <w:rsid w:val="3B2C39FD"/>
    <w:rsid w:val="3B341FC1"/>
    <w:rsid w:val="3B351E28"/>
    <w:rsid w:val="3B3F4A55"/>
    <w:rsid w:val="3B455DE4"/>
    <w:rsid w:val="3B602C1D"/>
    <w:rsid w:val="3B6F11E8"/>
    <w:rsid w:val="3B712735"/>
    <w:rsid w:val="3B732683"/>
    <w:rsid w:val="3B783AC3"/>
    <w:rsid w:val="3B81506E"/>
    <w:rsid w:val="3B851216"/>
    <w:rsid w:val="3B9D279F"/>
    <w:rsid w:val="3BA90120"/>
    <w:rsid w:val="3BB23479"/>
    <w:rsid w:val="3BB6283D"/>
    <w:rsid w:val="3BBE2852"/>
    <w:rsid w:val="3BC34DE0"/>
    <w:rsid w:val="3BC63EA0"/>
    <w:rsid w:val="3BC907C3"/>
    <w:rsid w:val="3BD22486"/>
    <w:rsid w:val="3BDA4704"/>
    <w:rsid w:val="3BE7286D"/>
    <w:rsid w:val="3BEB698B"/>
    <w:rsid w:val="3BF21AC7"/>
    <w:rsid w:val="3BF375EE"/>
    <w:rsid w:val="3BF910A8"/>
    <w:rsid w:val="3C017F5D"/>
    <w:rsid w:val="3C0B0DDB"/>
    <w:rsid w:val="3C0E61D6"/>
    <w:rsid w:val="3C1063F2"/>
    <w:rsid w:val="3C3C71E7"/>
    <w:rsid w:val="3C4147FD"/>
    <w:rsid w:val="3C463BC1"/>
    <w:rsid w:val="3C487939"/>
    <w:rsid w:val="3C5B13B1"/>
    <w:rsid w:val="3C5E53AF"/>
    <w:rsid w:val="3C6329C5"/>
    <w:rsid w:val="3C634773"/>
    <w:rsid w:val="3C774A60"/>
    <w:rsid w:val="3C81109D"/>
    <w:rsid w:val="3C8D17F0"/>
    <w:rsid w:val="3C991F43"/>
    <w:rsid w:val="3CA37266"/>
    <w:rsid w:val="3CB274A9"/>
    <w:rsid w:val="3CBA021E"/>
    <w:rsid w:val="3CC03974"/>
    <w:rsid w:val="3CF0561F"/>
    <w:rsid w:val="3CF16939"/>
    <w:rsid w:val="3D084D63"/>
    <w:rsid w:val="3D0B4A9A"/>
    <w:rsid w:val="3D271C45"/>
    <w:rsid w:val="3D402D06"/>
    <w:rsid w:val="3D420A8C"/>
    <w:rsid w:val="3D4E7E17"/>
    <w:rsid w:val="3D504B04"/>
    <w:rsid w:val="3D517AA3"/>
    <w:rsid w:val="3D711112"/>
    <w:rsid w:val="3D7824A0"/>
    <w:rsid w:val="3D7D7AB7"/>
    <w:rsid w:val="3D864BBD"/>
    <w:rsid w:val="3D883FE9"/>
    <w:rsid w:val="3D8A61EC"/>
    <w:rsid w:val="3D912D0A"/>
    <w:rsid w:val="3D9B618F"/>
    <w:rsid w:val="3D9F7A2D"/>
    <w:rsid w:val="3DA349DC"/>
    <w:rsid w:val="3DA60DBB"/>
    <w:rsid w:val="3DAE5EC2"/>
    <w:rsid w:val="3DD0408A"/>
    <w:rsid w:val="3DE6740A"/>
    <w:rsid w:val="3DE713D4"/>
    <w:rsid w:val="3DF80EEB"/>
    <w:rsid w:val="3E0D4FFF"/>
    <w:rsid w:val="3E0F5C92"/>
    <w:rsid w:val="3E171CB9"/>
    <w:rsid w:val="3E1877DF"/>
    <w:rsid w:val="3E261EFC"/>
    <w:rsid w:val="3E3457B0"/>
    <w:rsid w:val="3E391C30"/>
    <w:rsid w:val="3E5F71BC"/>
    <w:rsid w:val="3E7C38CA"/>
    <w:rsid w:val="3E8B46AB"/>
    <w:rsid w:val="3E916A5A"/>
    <w:rsid w:val="3E9753EA"/>
    <w:rsid w:val="3E9926CE"/>
    <w:rsid w:val="3E9948D1"/>
    <w:rsid w:val="3EBA43F3"/>
    <w:rsid w:val="3EBC460F"/>
    <w:rsid w:val="3EC6723B"/>
    <w:rsid w:val="3EE41CB3"/>
    <w:rsid w:val="3EEF6792"/>
    <w:rsid w:val="3EFB0C93"/>
    <w:rsid w:val="3F2226C4"/>
    <w:rsid w:val="3F235BB1"/>
    <w:rsid w:val="3F43088C"/>
    <w:rsid w:val="3F4A7E6C"/>
    <w:rsid w:val="3F5E71A0"/>
    <w:rsid w:val="3F762A0F"/>
    <w:rsid w:val="3F7F3F6B"/>
    <w:rsid w:val="3FA532F5"/>
    <w:rsid w:val="3FAA346A"/>
    <w:rsid w:val="3FAB317E"/>
    <w:rsid w:val="3FB86B84"/>
    <w:rsid w:val="3FBF1EA2"/>
    <w:rsid w:val="3FD6525C"/>
    <w:rsid w:val="3FDA11F0"/>
    <w:rsid w:val="3FE327A2"/>
    <w:rsid w:val="3FE45BCB"/>
    <w:rsid w:val="3FF34060"/>
    <w:rsid w:val="3FFD0A3B"/>
    <w:rsid w:val="400B75FC"/>
    <w:rsid w:val="40104C12"/>
    <w:rsid w:val="402A371D"/>
    <w:rsid w:val="403C5A07"/>
    <w:rsid w:val="40453737"/>
    <w:rsid w:val="40602185"/>
    <w:rsid w:val="406D3C7A"/>
    <w:rsid w:val="406D3E12"/>
    <w:rsid w:val="408D0A8F"/>
    <w:rsid w:val="40B03CFF"/>
    <w:rsid w:val="40B557B9"/>
    <w:rsid w:val="40DD4529"/>
    <w:rsid w:val="40DE6ABE"/>
    <w:rsid w:val="40EF2A79"/>
    <w:rsid w:val="40F41E3E"/>
    <w:rsid w:val="410B53D9"/>
    <w:rsid w:val="414920DE"/>
    <w:rsid w:val="41550B18"/>
    <w:rsid w:val="417D62D7"/>
    <w:rsid w:val="418C651A"/>
    <w:rsid w:val="41AF3FB7"/>
    <w:rsid w:val="41B65345"/>
    <w:rsid w:val="41BD4926"/>
    <w:rsid w:val="41BD66D4"/>
    <w:rsid w:val="41CE268F"/>
    <w:rsid w:val="41E371A6"/>
    <w:rsid w:val="41F30347"/>
    <w:rsid w:val="41F63994"/>
    <w:rsid w:val="4206324A"/>
    <w:rsid w:val="420B38E3"/>
    <w:rsid w:val="425132C0"/>
    <w:rsid w:val="425B50B1"/>
    <w:rsid w:val="42663A07"/>
    <w:rsid w:val="4269060A"/>
    <w:rsid w:val="427B2AA6"/>
    <w:rsid w:val="428160ED"/>
    <w:rsid w:val="42957651"/>
    <w:rsid w:val="42A15FF5"/>
    <w:rsid w:val="42B01A80"/>
    <w:rsid w:val="42B0448A"/>
    <w:rsid w:val="42B540C6"/>
    <w:rsid w:val="42C41CE4"/>
    <w:rsid w:val="42C433CD"/>
    <w:rsid w:val="42CB3072"/>
    <w:rsid w:val="42CD5ED3"/>
    <w:rsid w:val="42D55C9F"/>
    <w:rsid w:val="42DC527F"/>
    <w:rsid w:val="42DC702D"/>
    <w:rsid w:val="4312146D"/>
    <w:rsid w:val="43124DBF"/>
    <w:rsid w:val="431762B8"/>
    <w:rsid w:val="431B5DA8"/>
    <w:rsid w:val="4320309B"/>
    <w:rsid w:val="43210EE4"/>
    <w:rsid w:val="43267EE9"/>
    <w:rsid w:val="43370708"/>
    <w:rsid w:val="43411BCB"/>
    <w:rsid w:val="43505326"/>
    <w:rsid w:val="435C4BA0"/>
    <w:rsid w:val="4373005F"/>
    <w:rsid w:val="43741014"/>
    <w:rsid w:val="437555CA"/>
    <w:rsid w:val="437871B2"/>
    <w:rsid w:val="4387343D"/>
    <w:rsid w:val="438F11EC"/>
    <w:rsid w:val="439B5FFC"/>
    <w:rsid w:val="43A318F9"/>
    <w:rsid w:val="43B06BBD"/>
    <w:rsid w:val="43B43B06"/>
    <w:rsid w:val="43C875B2"/>
    <w:rsid w:val="43C9540C"/>
    <w:rsid w:val="43CE2E1A"/>
    <w:rsid w:val="44055D98"/>
    <w:rsid w:val="44073946"/>
    <w:rsid w:val="441D1612"/>
    <w:rsid w:val="441F5424"/>
    <w:rsid w:val="442326F2"/>
    <w:rsid w:val="442418FE"/>
    <w:rsid w:val="44355499"/>
    <w:rsid w:val="443E4E5B"/>
    <w:rsid w:val="445D7297"/>
    <w:rsid w:val="44781DAA"/>
    <w:rsid w:val="44782D86"/>
    <w:rsid w:val="448D4A83"/>
    <w:rsid w:val="449D459A"/>
    <w:rsid w:val="44A1408B"/>
    <w:rsid w:val="44A5030F"/>
    <w:rsid w:val="44AB4F09"/>
    <w:rsid w:val="44B85878"/>
    <w:rsid w:val="44BE2E8F"/>
    <w:rsid w:val="44C1472D"/>
    <w:rsid w:val="44C9249B"/>
    <w:rsid w:val="44CA357E"/>
    <w:rsid w:val="44E4666D"/>
    <w:rsid w:val="44F763A1"/>
    <w:rsid w:val="45373AE3"/>
    <w:rsid w:val="45462E99"/>
    <w:rsid w:val="455235D7"/>
    <w:rsid w:val="45617CBE"/>
    <w:rsid w:val="45667082"/>
    <w:rsid w:val="456E7D5E"/>
    <w:rsid w:val="45703A5D"/>
    <w:rsid w:val="45717F01"/>
    <w:rsid w:val="457C68A6"/>
    <w:rsid w:val="45857508"/>
    <w:rsid w:val="4587776E"/>
    <w:rsid w:val="458A0FC3"/>
    <w:rsid w:val="459260C9"/>
    <w:rsid w:val="459B2EF7"/>
    <w:rsid w:val="45A11722"/>
    <w:rsid w:val="45AF0A29"/>
    <w:rsid w:val="45CF460B"/>
    <w:rsid w:val="45E06E35"/>
    <w:rsid w:val="45E27E1E"/>
    <w:rsid w:val="45FF375F"/>
    <w:rsid w:val="46142700"/>
    <w:rsid w:val="462431C5"/>
    <w:rsid w:val="462A4554"/>
    <w:rsid w:val="465D66D7"/>
    <w:rsid w:val="46671304"/>
    <w:rsid w:val="46674E60"/>
    <w:rsid w:val="466C691A"/>
    <w:rsid w:val="46B502C1"/>
    <w:rsid w:val="46BF2EEE"/>
    <w:rsid w:val="46DB0FE4"/>
    <w:rsid w:val="46E41F21"/>
    <w:rsid w:val="46E666CD"/>
    <w:rsid w:val="46FD7572"/>
    <w:rsid w:val="4701087D"/>
    <w:rsid w:val="470316C4"/>
    <w:rsid w:val="470E368E"/>
    <w:rsid w:val="47136D96"/>
    <w:rsid w:val="471A45C8"/>
    <w:rsid w:val="471C5C4A"/>
    <w:rsid w:val="4723522B"/>
    <w:rsid w:val="47305B9A"/>
    <w:rsid w:val="47322DB6"/>
    <w:rsid w:val="473E02B7"/>
    <w:rsid w:val="477631E0"/>
    <w:rsid w:val="479223B1"/>
    <w:rsid w:val="4792415F"/>
    <w:rsid w:val="47AA76FA"/>
    <w:rsid w:val="47AC7367"/>
    <w:rsid w:val="47AD6319"/>
    <w:rsid w:val="47B02837"/>
    <w:rsid w:val="47BA5BC1"/>
    <w:rsid w:val="47BB79F3"/>
    <w:rsid w:val="47C7285C"/>
    <w:rsid w:val="47F46BC7"/>
    <w:rsid w:val="480C69CA"/>
    <w:rsid w:val="480F2E5A"/>
    <w:rsid w:val="48205C0E"/>
    <w:rsid w:val="48311BC9"/>
    <w:rsid w:val="484216E1"/>
    <w:rsid w:val="486378A9"/>
    <w:rsid w:val="48677399"/>
    <w:rsid w:val="48733F90"/>
    <w:rsid w:val="487519F9"/>
    <w:rsid w:val="4884619D"/>
    <w:rsid w:val="48B06F92"/>
    <w:rsid w:val="48B9571B"/>
    <w:rsid w:val="48C60564"/>
    <w:rsid w:val="48CE11C6"/>
    <w:rsid w:val="48D367DD"/>
    <w:rsid w:val="48D55F0A"/>
    <w:rsid w:val="48F21359"/>
    <w:rsid w:val="48F50E49"/>
    <w:rsid w:val="48F6071D"/>
    <w:rsid w:val="49064E04"/>
    <w:rsid w:val="4910358D"/>
    <w:rsid w:val="492D05E3"/>
    <w:rsid w:val="49347AA6"/>
    <w:rsid w:val="493E459E"/>
    <w:rsid w:val="493F0316"/>
    <w:rsid w:val="496D392E"/>
    <w:rsid w:val="49787ACA"/>
    <w:rsid w:val="497F756E"/>
    <w:rsid w:val="4981448B"/>
    <w:rsid w:val="498328B1"/>
    <w:rsid w:val="498E7313"/>
    <w:rsid w:val="499B629D"/>
    <w:rsid w:val="49A217BE"/>
    <w:rsid w:val="49B74350"/>
    <w:rsid w:val="49BF4AE4"/>
    <w:rsid w:val="49CB1BAA"/>
    <w:rsid w:val="49E862B8"/>
    <w:rsid w:val="4A0A5885"/>
    <w:rsid w:val="4A192915"/>
    <w:rsid w:val="4A1B043B"/>
    <w:rsid w:val="4A317C5F"/>
    <w:rsid w:val="4A3459A1"/>
    <w:rsid w:val="4A372D9B"/>
    <w:rsid w:val="4A4C2CEB"/>
    <w:rsid w:val="4A783AE0"/>
    <w:rsid w:val="4A800BE6"/>
    <w:rsid w:val="4A934476"/>
    <w:rsid w:val="4A980693"/>
    <w:rsid w:val="4AD056CA"/>
    <w:rsid w:val="4AEC1DD8"/>
    <w:rsid w:val="4AEE3DA2"/>
    <w:rsid w:val="4B073A5C"/>
    <w:rsid w:val="4B137364"/>
    <w:rsid w:val="4B17661E"/>
    <w:rsid w:val="4B1A6945"/>
    <w:rsid w:val="4B1C090F"/>
    <w:rsid w:val="4B2E231E"/>
    <w:rsid w:val="4B360599"/>
    <w:rsid w:val="4B387880"/>
    <w:rsid w:val="4B44760D"/>
    <w:rsid w:val="4B5217BF"/>
    <w:rsid w:val="4B5C5D27"/>
    <w:rsid w:val="4B5E326D"/>
    <w:rsid w:val="4B78366B"/>
    <w:rsid w:val="4B840ACD"/>
    <w:rsid w:val="4B8545DA"/>
    <w:rsid w:val="4B8C42AD"/>
    <w:rsid w:val="4BA803F5"/>
    <w:rsid w:val="4BBA0128"/>
    <w:rsid w:val="4BBD5522"/>
    <w:rsid w:val="4BC51F60"/>
    <w:rsid w:val="4BD2475B"/>
    <w:rsid w:val="4BDC64DF"/>
    <w:rsid w:val="4BF278C2"/>
    <w:rsid w:val="4BF72474"/>
    <w:rsid w:val="4C084AEB"/>
    <w:rsid w:val="4C0F3FD0"/>
    <w:rsid w:val="4C2E5AE5"/>
    <w:rsid w:val="4C39729F"/>
    <w:rsid w:val="4C3D6D8F"/>
    <w:rsid w:val="4C4C7CE4"/>
    <w:rsid w:val="4C4F0B45"/>
    <w:rsid w:val="4C675BBA"/>
    <w:rsid w:val="4C7327B1"/>
    <w:rsid w:val="4C787DC7"/>
    <w:rsid w:val="4C8F3363"/>
    <w:rsid w:val="4C982217"/>
    <w:rsid w:val="4CA010CC"/>
    <w:rsid w:val="4CC4300C"/>
    <w:rsid w:val="4CDF7E46"/>
    <w:rsid w:val="4CE03BBE"/>
    <w:rsid w:val="4CEC4311"/>
    <w:rsid w:val="4CFC70B9"/>
    <w:rsid w:val="4CFF4044"/>
    <w:rsid w:val="4D0A29E9"/>
    <w:rsid w:val="4D0B0C3B"/>
    <w:rsid w:val="4D0B43E1"/>
    <w:rsid w:val="4D2F41FE"/>
    <w:rsid w:val="4D445EFB"/>
    <w:rsid w:val="4D502AF2"/>
    <w:rsid w:val="4D5048A0"/>
    <w:rsid w:val="4D551EB6"/>
    <w:rsid w:val="4D704F42"/>
    <w:rsid w:val="4D73058E"/>
    <w:rsid w:val="4D784DA1"/>
    <w:rsid w:val="4D7908B5"/>
    <w:rsid w:val="4D970721"/>
    <w:rsid w:val="4D97427D"/>
    <w:rsid w:val="4DA60964"/>
    <w:rsid w:val="4DA74A82"/>
    <w:rsid w:val="4DA969FC"/>
    <w:rsid w:val="4DB73FDD"/>
    <w:rsid w:val="4DB7491F"/>
    <w:rsid w:val="4DB766CD"/>
    <w:rsid w:val="4DBF5582"/>
    <w:rsid w:val="4DED20EF"/>
    <w:rsid w:val="4DF94F37"/>
    <w:rsid w:val="4E0336C0"/>
    <w:rsid w:val="4E0B07C7"/>
    <w:rsid w:val="4E255D2C"/>
    <w:rsid w:val="4E2D342F"/>
    <w:rsid w:val="4E320449"/>
    <w:rsid w:val="4E3441C2"/>
    <w:rsid w:val="4E3B70D2"/>
    <w:rsid w:val="4E3C6BD2"/>
    <w:rsid w:val="4E434405"/>
    <w:rsid w:val="4E597784"/>
    <w:rsid w:val="4E5C3A58"/>
    <w:rsid w:val="4E600B13"/>
    <w:rsid w:val="4E63434A"/>
    <w:rsid w:val="4E865AFC"/>
    <w:rsid w:val="4E9407BC"/>
    <w:rsid w:val="4EB40E5E"/>
    <w:rsid w:val="4EF31987"/>
    <w:rsid w:val="4F02606E"/>
    <w:rsid w:val="4F066320"/>
    <w:rsid w:val="4F0B3174"/>
    <w:rsid w:val="4F0C4606"/>
    <w:rsid w:val="4F165675"/>
    <w:rsid w:val="4F2B1B4F"/>
    <w:rsid w:val="4F3D5624"/>
    <w:rsid w:val="4F3F2E1E"/>
    <w:rsid w:val="4F4E6EBF"/>
    <w:rsid w:val="4F58373D"/>
    <w:rsid w:val="4F7D4C71"/>
    <w:rsid w:val="4F9071D6"/>
    <w:rsid w:val="4F9A62A6"/>
    <w:rsid w:val="4FA80A1B"/>
    <w:rsid w:val="4FC82E13"/>
    <w:rsid w:val="4FC96B8B"/>
    <w:rsid w:val="4FCA7073"/>
    <w:rsid w:val="4FD33566"/>
    <w:rsid w:val="4FD80B7D"/>
    <w:rsid w:val="4FDF015D"/>
    <w:rsid w:val="4FE259E9"/>
    <w:rsid w:val="4FF57980"/>
    <w:rsid w:val="4FF736F9"/>
    <w:rsid w:val="50011E81"/>
    <w:rsid w:val="50092961"/>
    <w:rsid w:val="501778F7"/>
    <w:rsid w:val="5019366F"/>
    <w:rsid w:val="501C315F"/>
    <w:rsid w:val="501D7C2E"/>
    <w:rsid w:val="501E6ED7"/>
    <w:rsid w:val="505E7E6B"/>
    <w:rsid w:val="50610B72"/>
    <w:rsid w:val="506F14E1"/>
    <w:rsid w:val="507408A5"/>
    <w:rsid w:val="50795EBC"/>
    <w:rsid w:val="508A00C9"/>
    <w:rsid w:val="50911A85"/>
    <w:rsid w:val="50963550"/>
    <w:rsid w:val="50A53155"/>
    <w:rsid w:val="50B415EA"/>
    <w:rsid w:val="50B934BB"/>
    <w:rsid w:val="50BD3A0A"/>
    <w:rsid w:val="50BE4216"/>
    <w:rsid w:val="50CF1F80"/>
    <w:rsid w:val="50DE6667"/>
    <w:rsid w:val="50EB486D"/>
    <w:rsid w:val="50F11EF6"/>
    <w:rsid w:val="50F25C6E"/>
    <w:rsid w:val="51031C29"/>
    <w:rsid w:val="510D4856"/>
    <w:rsid w:val="510E0CFA"/>
    <w:rsid w:val="511E6A63"/>
    <w:rsid w:val="512A76B9"/>
    <w:rsid w:val="512C7508"/>
    <w:rsid w:val="51404C2B"/>
    <w:rsid w:val="516369D5"/>
    <w:rsid w:val="516721B8"/>
    <w:rsid w:val="516A1CA8"/>
    <w:rsid w:val="51954A31"/>
    <w:rsid w:val="519C6E6F"/>
    <w:rsid w:val="51A52CE0"/>
    <w:rsid w:val="51A90A23"/>
    <w:rsid w:val="51B318A1"/>
    <w:rsid w:val="51BC0756"/>
    <w:rsid w:val="51C82784"/>
    <w:rsid w:val="51D57A6A"/>
    <w:rsid w:val="51DC4954"/>
    <w:rsid w:val="51FA74D0"/>
    <w:rsid w:val="52036385"/>
    <w:rsid w:val="52100AA2"/>
    <w:rsid w:val="52195BA8"/>
    <w:rsid w:val="521D27E0"/>
    <w:rsid w:val="521F0CE5"/>
    <w:rsid w:val="5224454D"/>
    <w:rsid w:val="52285DEB"/>
    <w:rsid w:val="52293911"/>
    <w:rsid w:val="522E0F28"/>
    <w:rsid w:val="52321D93"/>
    <w:rsid w:val="523A78CD"/>
    <w:rsid w:val="523F3135"/>
    <w:rsid w:val="52420452"/>
    <w:rsid w:val="524A5FDD"/>
    <w:rsid w:val="524E5126"/>
    <w:rsid w:val="52533FC1"/>
    <w:rsid w:val="525C3CE7"/>
    <w:rsid w:val="526230BC"/>
    <w:rsid w:val="528079D5"/>
    <w:rsid w:val="528B0128"/>
    <w:rsid w:val="528F5E6A"/>
    <w:rsid w:val="52A86F2C"/>
    <w:rsid w:val="52B00A75"/>
    <w:rsid w:val="52B458D1"/>
    <w:rsid w:val="52B85DAB"/>
    <w:rsid w:val="52C5188C"/>
    <w:rsid w:val="52C5363A"/>
    <w:rsid w:val="52C61160"/>
    <w:rsid w:val="52E066C6"/>
    <w:rsid w:val="52E53CDC"/>
    <w:rsid w:val="52F263F9"/>
    <w:rsid w:val="52F30FD8"/>
    <w:rsid w:val="52F42171"/>
    <w:rsid w:val="52F97788"/>
    <w:rsid w:val="530973DA"/>
    <w:rsid w:val="531B14AC"/>
    <w:rsid w:val="532145E9"/>
    <w:rsid w:val="5325232B"/>
    <w:rsid w:val="53305E16"/>
    <w:rsid w:val="5349426B"/>
    <w:rsid w:val="535A6478"/>
    <w:rsid w:val="536315C9"/>
    <w:rsid w:val="53715570"/>
    <w:rsid w:val="53744FA3"/>
    <w:rsid w:val="53803A05"/>
    <w:rsid w:val="538232D9"/>
    <w:rsid w:val="53A07C03"/>
    <w:rsid w:val="53BA3BD4"/>
    <w:rsid w:val="53BB70AD"/>
    <w:rsid w:val="53C102A5"/>
    <w:rsid w:val="53CB1124"/>
    <w:rsid w:val="53CC09F8"/>
    <w:rsid w:val="53CE29C2"/>
    <w:rsid w:val="53D77AC9"/>
    <w:rsid w:val="53DA1367"/>
    <w:rsid w:val="53DA43C4"/>
    <w:rsid w:val="53E126F6"/>
    <w:rsid w:val="53E267AB"/>
    <w:rsid w:val="53EB70D0"/>
    <w:rsid w:val="53ED41A3"/>
    <w:rsid w:val="53EE4E13"/>
    <w:rsid w:val="53F35F85"/>
    <w:rsid w:val="53FA5565"/>
    <w:rsid w:val="54183C3E"/>
    <w:rsid w:val="54316AAD"/>
    <w:rsid w:val="54414F42"/>
    <w:rsid w:val="544762D1"/>
    <w:rsid w:val="54553068"/>
    <w:rsid w:val="545E52E6"/>
    <w:rsid w:val="545F7ABE"/>
    <w:rsid w:val="5463135D"/>
    <w:rsid w:val="546B6463"/>
    <w:rsid w:val="547A0454"/>
    <w:rsid w:val="548A4B3B"/>
    <w:rsid w:val="54905ECA"/>
    <w:rsid w:val="54A35BFD"/>
    <w:rsid w:val="54A43723"/>
    <w:rsid w:val="54BC6CBF"/>
    <w:rsid w:val="54C55B73"/>
    <w:rsid w:val="54D02C4B"/>
    <w:rsid w:val="54D826F7"/>
    <w:rsid w:val="54DC2EBD"/>
    <w:rsid w:val="550D6F8B"/>
    <w:rsid w:val="550D751A"/>
    <w:rsid w:val="55112B45"/>
    <w:rsid w:val="551D1A51"/>
    <w:rsid w:val="552705DC"/>
    <w:rsid w:val="55351206"/>
    <w:rsid w:val="55473DC7"/>
    <w:rsid w:val="554B7562"/>
    <w:rsid w:val="55653C63"/>
    <w:rsid w:val="55684751"/>
    <w:rsid w:val="556E620B"/>
    <w:rsid w:val="557D644E"/>
    <w:rsid w:val="558570B1"/>
    <w:rsid w:val="5588094F"/>
    <w:rsid w:val="558F79BB"/>
    <w:rsid w:val="55A649AE"/>
    <w:rsid w:val="55BF6A67"/>
    <w:rsid w:val="55CE6CAA"/>
    <w:rsid w:val="55D02A22"/>
    <w:rsid w:val="55D93627"/>
    <w:rsid w:val="560A5808"/>
    <w:rsid w:val="56190555"/>
    <w:rsid w:val="56246244"/>
    <w:rsid w:val="56260894"/>
    <w:rsid w:val="5627460C"/>
    <w:rsid w:val="564B20A8"/>
    <w:rsid w:val="564C7BCE"/>
    <w:rsid w:val="56574EF1"/>
    <w:rsid w:val="565C7750"/>
    <w:rsid w:val="56602AF8"/>
    <w:rsid w:val="566413BC"/>
    <w:rsid w:val="56644F18"/>
    <w:rsid w:val="56666EE2"/>
    <w:rsid w:val="567F1D52"/>
    <w:rsid w:val="56951575"/>
    <w:rsid w:val="56981066"/>
    <w:rsid w:val="569A4274"/>
    <w:rsid w:val="569D01CE"/>
    <w:rsid w:val="569D1848"/>
    <w:rsid w:val="56B13A64"/>
    <w:rsid w:val="56B74F73"/>
    <w:rsid w:val="56BA3AA0"/>
    <w:rsid w:val="56BF4844"/>
    <w:rsid w:val="56CF6D97"/>
    <w:rsid w:val="56D402F0"/>
    <w:rsid w:val="56D454D1"/>
    <w:rsid w:val="56D66689"/>
    <w:rsid w:val="56DC53F6"/>
    <w:rsid w:val="56F444EE"/>
    <w:rsid w:val="56FF2E93"/>
    <w:rsid w:val="570E46A2"/>
    <w:rsid w:val="57233025"/>
    <w:rsid w:val="57236B81"/>
    <w:rsid w:val="57315742"/>
    <w:rsid w:val="57471F1B"/>
    <w:rsid w:val="57580F21"/>
    <w:rsid w:val="5765363E"/>
    <w:rsid w:val="576F00BA"/>
    <w:rsid w:val="577044C9"/>
    <w:rsid w:val="57711FE2"/>
    <w:rsid w:val="57727B09"/>
    <w:rsid w:val="57847C36"/>
    <w:rsid w:val="578E7032"/>
    <w:rsid w:val="57AD4AD6"/>
    <w:rsid w:val="57BE4AFC"/>
    <w:rsid w:val="57CA16F3"/>
    <w:rsid w:val="57D32355"/>
    <w:rsid w:val="57F347A6"/>
    <w:rsid w:val="57F86260"/>
    <w:rsid w:val="58044C05"/>
    <w:rsid w:val="58070251"/>
    <w:rsid w:val="58095D77"/>
    <w:rsid w:val="580E7831"/>
    <w:rsid w:val="580F7106"/>
    <w:rsid w:val="582232DD"/>
    <w:rsid w:val="58331506"/>
    <w:rsid w:val="584414A5"/>
    <w:rsid w:val="5846521D"/>
    <w:rsid w:val="584E2691"/>
    <w:rsid w:val="584E5E80"/>
    <w:rsid w:val="585316E8"/>
    <w:rsid w:val="5853384B"/>
    <w:rsid w:val="58615653"/>
    <w:rsid w:val="58627B7D"/>
    <w:rsid w:val="586A742C"/>
    <w:rsid w:val="587A6C75"/>
    <w:rsid w:val="587C0C3F"/>
    <w:rsid w:val="587F2351"/>
    <w:rsid w:val="5881039C"/>
    <w:rsid w:val="58871392"/>
    <w:rsid w:val="588D7E28"/>
    <w:rsid w:val="58A12453"/>
    <w:rsid w:val="58A261CC"/>
    <w:rsid w:val="58BC728D"/>
    <w:rsid w:val="58C134D7"/>
    <w:rsid w:val="58C94C3F"/>
    <w:rsid w:val="58D043A4"/>
    <w:rsid w:val="58E3481A"/>
    <w:rsid w:val="58E42340"/>
    <w:rsid w:val="58F76517"/>
    <w:rsid w:val="591E42EB"/>
    <w:rsid w:val="592769B8"/>
    <w:rsid w:val="592A1676"/>
    <w:rsid w:val="593037D7"/>
    <w:rsid w:val="5936007D"/>
    <w:rsid w:val="59441031"/>
    <w:rsid w:val="594C6863"/>
    <w:rsid w:val="5971339C"/>
    <w:rsid w:val="59725B9E"/>
    <w:rsid w:val="597A4752"/>
    <w:rsid w:val="597B0EF6"/>
    <w:rsid w:val="598D0C2A"/>
    <w:rsid w:val="599B6EA3"/>
    <w:rsid w:val="59B91A1F"/>
    <w:rsid w:val="59BB5797"/>
    <w:rsid w:val="59C17E20"/>
    <w:rsid w:val="59C3464B"/>
    <w:rsid w:val="59C7413C"/>
    <w:rsid w:val="59CC706B"/>
    <w:rsid w:val="59DD395F"/>
    <w:rsid w:val="59E71DDE"/>
    <w:rsid w:val="5A00764E"/>
    <w:rsid w:val="5A013892"/>
    <w:rsid w:val="5A064D2E"/>
    <w:rsid w:val="5A0A227A"/>
    <w:rsid w:val="5A0C1B4F"/>
    <w:rsid w:val="5A1C7BE7"/>
    <w:rsid w:val="5A2C3F9F"/>
    <w:rsid w:val="5A496D02"/>
    <w:rsid w:val="5A53496E"/>
    <w:rsid w:val="5A6951F3"/>
    <w:rsid w:val="5A6B0F6B"/>
    <w:rsid w:val="5A6C4CE3"/>
    <w:rsid w:val="5A731BCE"/>
    <w:rsid w:val="5A7756D8"/>
    <w:rsid w:val="5A783688"/>
    <w:rsid w:val="5A8042EB"/>
    <w:rsid w:val="5A96078C"/>
    <w:rsid w:val="5A971D60"/>
    <w:rsid w:val="5A9A1850"/>
    <w:rsid w:val="5A9F6E67"/>
    <w:rsid w:val="5ABB0552"/>
    <w:rsid w:val="5ABF12B7"/>
    <w:rsid w:val="5AC3480F"/>
    <w:rsid w:val="5AC87CD6"/>
    <w:rsid w:val="5AC93EE4"/>
    <w:rsid w:val="5AE42ACB"/>
    <w:rsid w:val="5AE623A0"/>
    <w:rsid w:val="5AE8436A"/>
    <w:rsid w:val="5AE85A5C"/>
    <w:rsid w:val="5AF80E2D"/>
    <w:rsid w:val="5B10566E"/>
    <w:rsid w:val="5B182B89"/>
    <w:rsid w:val="5B18744E"/>
    <w:rsid w:val="5B1E7D8B"/>
    <w:rsid w:val="5B286E5C"/>
    <w:rsid w:val="5B3E042E"/>
    <w:rsid w:val="5B4B66A7"/>
    <w:rsid w:val="5B5163B3"/>
    <w:rsid w:val="5B57329D"/>
    <w:rsid w:val="5B5F44EF"/>
    <w:rsid w:val="5B6A1223"/>
    <w:rsid w:val="5B6E41D0"/>
    <w:rsid w:val="5B7420A1"/>
    <w:rsid w:val="5B85605C"/>
    <w:rsid w:val="5B9462A0"/>
    <w:rsid w:val="5BAA161F"/>
    <w:rsid w:val="5BAF30D9"/>
    <w:rsid w:val="5BC63955"/>
    <w:rsid w:val="5BDD44F5"/>
    <w:rsid w:val="5C2A09B2"/>
    <w:rsid w:val="5C451348"/>
    <w:rsid w:val="5C471564"/>
    <w:rsid w:val="5C4A2BD7"/>
    <w:rsid w:val="5C5A1297"/>
    <w:rsid w:val="5C62639E"/>
    <w:rsid w:val="5C6C4B26"/>
    <w:rsid w:val="5C841E70"/>
    <w:rsid w:val="5C884206"/>
    <w:rsid w:val="5C950521"/>
    <w:rsid w:val="5C9A78E6"/>
    <w:rsid w:val="5CAF68F6"/>
    <w:rsid w:val="5CE301EB"/>
    <w:rsid w:val="5CEB1EEF"/>
    <w:rsid w:val="5CEE19DF"/>
    <w:rsid w:val="5CF74D38"/>
    <w:rsid w:val="5CF8285E"/>
    <w:rsid w:val="5CF84E92"/>
    <w:rsid w:val="5CF908E2"/>
    <w:rsid w:val="5D086F45"/>
    <w:rsid w:val="5D192F00"/>
    <w:rsid w:val="5D213D72"/>
    <w:rsid w:val="5D50269A"/>
    <w:rsid w:val="5D63632E"/>
    <w:rsid w:val="5D7C348F"/>
    <w:rsid w:val="5D8660BC"/>
    <w:rsid w:val="5D89138F"/>
    <w:rsid w:val="5D8957F9"/>
    <w:rsid w:val="5D973E25"/>
    <w:rsid w:val="5D99194B"/>
    <w:rsid w:val="5DAF5613"/>
    <w:rsid w:val="5DB173D5"/>
    <w:rsid w:val="5DD63758"/>
    <w:rsid w:val="5DDB1F64"/>
    <w:rsid w:val="5DE74DAC"/>
    <w:rsid w:val="5DEC23C3"/>
    <w:rsid w:val="5E0447B4"/>
    <w:rsid w:val="5E0771FD"/>
    <w:rsid w:val="5E0A2849"/>
    <w:rsid w:val="5E0B46BF"/>
    <w:rsid w:val="5E0D72AC"/>
    <w:rsid w:val="5E2775BD"/>
    <w:rsid w:val="5E326512"/>
    <w:rsid w:val="5E3D4525"/>
    <w:rsid w:val="5E40270F"/>
    <w:rsid w:val="5E4205CC"/>
    <w:rsid w:val="5E4E0570"/>
    <w:rsid w:val="5E504C73"/>
    <w:rsid w:val="5E522294"/>
    <w:rsid w:val="5E624433"/>
    <w:rsid w:val="5E7423B8"/>
    <w:rsid w:val="5E985E8A"/>
    <w:rsid w:val="5EA26F25"/>
    <w:rsid w:val="5EB822A5"/>
    <w:rsid w:val="5ED03A93"/>
    <w:rsid w:val="5EDF3CD6"/>
    <w:rsid w:val="5EE54D87"/>
    <w:rsid w:val="5EEC63F2"/>
    <w:rsid w:val="5EF84D97"/>
    <w:rsid w:val="5EF86B7E"/>
    <w:rsid w:val="5F180040"/>
    <w:rsid w:val="5F1871E8"/>
    <w:rsid w:val="5F261904"/>
    <w:rsid w:val="5F4B7EC1"/>
    <w:rsid w:val="5F506981"/>
    <w:rsid w:val="5F645F89"/>
    <w:rsid w:val="5F69359F"/>
    <w:rsid w:val="5F73441E"/>
    <w:rsid w:val="5F8108E9"/>
    <w:rsid w:val="5F8A1E93"/>
    <w:rsid w:val="5F904FD0"/>
    <w:rsid w:val="5F950838"/>
    <w:rsid w:val="5F9F5213"/>
    <w:rsid w:val="5FA8056B"/>
    <w:rsid w:val="5FAA42E4"/>
    <w:rsid w:val="5FB455AB"/>
    <w:rsid w:val="5FCB7633"/>
    <w:rsid w:val="5FD539BB"/>
    <w:rsid w:val="5FD8479E"/>
    <w:rsid w:val="5FEF4FD0"/>
    <w:rsid w:val="5FF11588"/>
    <w:rsid w:val="5FF7262C"/>
    <w:rsid w:val="600B4656"/>
    <w:rsid w:val="60151398"/>
    <w:rsid w:val="602420E4"/>
    <w:rsid w:val="602C4CF9"/>
    <w:rsid w:val="603B13E0"/>
    <w:rsid w:val="60433DF0"/>
    <w:rsid w:val="60462DA9"/>
    <w:rsid w:val="60585DBB"/>
    <w:rsid w:val="60730B79"/>
    <w:rsid w:val="60791F08"/>
    <w:rsid w:val="608368E3"/>
    <w:rsid w:val="609140E5"/>
    <w:rsid w:val="609F50E9"/>
    <w:rsid w:val="60A56859"/>
    <w:rsid w:val="60C969EB"/>
    <w:rsid w:val="60CA4511"/>
    <w:rsid w:val="60D26DE5"/>
    <w:rsid w:val="610A53B4"/>
    <w:rsid w:val="611834CF"/>
    <w:rsid w:val="612105D5"/>
    <w:rsid w:val="6126799A"/>
    <w:rsid w:val="61394E2C"/>
    <w:rsid w:val="6147287B"/>
    <w:rsid w:val="614C4F26"/>
    <w:rsid w:val="61504A17"/>
    <w:rsid w:val="616C5544"/>
    <w:rsid w:val="617F4494"/>
    <w:rsid w:val="61B74A96"/>
    <w:rsid w:val="61B825BC"/>
    <w:rsid w:val="61C55405"/>
    <w:rsid w:val="61EB2991"/>
    <w:rsid w:val="61FE7898"/>
    <w:rsid w:val="62020EC5"/>
    <w:rsid w:val="62037CDB"/>
    <w:rsid w:val="620D0B5A"/>
    <w:rsid w:val="621C7A8F"/>
    <w:rsid w:val="62287742"/>
    <w:rsid w:val="622A170C"/>
    <w:rsid w:val="622D4D58"/>
    <w:rsid w:val="62487DE4"/>
    <w:rsid w:val="62516C98"/>
    <w:rsid w:val="62652744"/>
    <w:rsid w:val="62816E52"/>
    <w:rsid w:val="6291178B"/>
    <w:rsid w:val="629628FD"/>
    <w:rsid w:val="629848C7"/>
    <w:rsid w:val="62A11A47"/>
    <w:rsid w:val="62A91ADE"/>
    <w:rsid w:val="62B4089B"/>
    <w:rsid w:val="62C51434"/>
    <w:rsid w:val="62CA6A4B"/>
    <w:rsid w:val="62E94FF3"/>
    <w:rsid w:val="62EE098B"/>
    <w:rsid w:val="62F475B6"/>
    <w:rsid w:val="62F57081"/>
    <w:rsid w:val="62FD297C"/>
    <w:rsid w:val="630006BE"/>
    <w:rsid w:val="63071A4D"/>
    <w:rsid w:val="630C6A64"/>
    <w:rsid w:val="631F6D97"/>
    <w:rsid w:val="631F7E44"/>
    <w:rsid w:val="632D00A8"/>
    <w:rsid w:val="63376FCF"/>
    <w:rsid w:val="635150B5"/>
    <w:rsid w:val="635573A2"/>
    <w:rsid w:val="63576530"/>
    <w:rsid w:val="635B76A3"/>
    <w:rsid w:val="635C3B47"/>
    <w:rsid w:val="637854AF"/>
    <w:rsid w:val="637C04DD"/>
    <w:rsid w:val="637F15E3"/>
    <w:rsid w:val="63844E4C"/>
    <w:rsid w:val="63892FA5"/>
    <w:rsid w:val="638D1F52"/>
    <w:rsid w:val="63964CCA"/>
    <w:rsid w:val="639C2195"/>
    <w:rsid w:val="639F3A33"/>
    <w:rsid w:val="63AE3C76"/>
    <w:rsid w:val="63B30F2E"/>
    <w:rsid w:val="63B3451B"/>
    <w:rsid w:val="63BA77AE"/>
    <w:rsid w:val="63CB1BED"/>
    <w:rsid w:val="63CD67F3"/>
    <w:rsid w:val="63DE27AE"/>
    <w:rsid w:val="63F7410E"/>
    <w:rsid w:val="63F975E8"/>
    <w:rsid w:val="641F4B74"/>
    <w:rsid w:val="642503DD"/>
    <w:rsid w:val="643B7C00"/>
    <w:rsid w:val="643C5726"/>
    <w:rsid w:val="64760C38"/>
    <w:rsid w:val="64794284"/>
    <w:rsid w:val="6481138B"/>
    <w:rsid w:val="64875941"/>
    <w:rsid w:val="648D18F2"/>
    <w:rsid w:val="64AD3F2E"/>
    <w:rsid w:val="64BB2AEF"/>
    <w:rsid w:val="64C80D68"/>
    <w:rsid w:val="64CE2822"/>
    <w:rsid w:val="64DE2339"/>
    <w:rsid w:val="64E33DF4"/>
    <w:rsid w:val="64F8789F"/>
    <w:rsid w:val="64FB738F"/>
    <w:rsid w:val="65110961"/>
    <w:rsid w:val="65295CAB"/>
    <w:rsid w:val="652A2E44"/>
    <w:rsid w:val="654E4849"/>
    <w:rsid w:val="65532D27"/>
    <w:rsid w:val="656447FC"/>
    <w:rsid w:val="65660CAD"/>
    <w:rsid w:val="65686657"/>
    <w:rsid w:val="65735178"/>
    <w:rsid w:val="657A4758"/>
    <w:rsid w:val="657F3B1C"/>
    <w:rsid w:val="65876E75"/>
    <w:rsid w:val="658E1FB1"/>
    <w:rsid w:val="659155FE"/>
    <w:rsid w:val="65BD69EB"/>
    <w:rsid w:val="65EB7404"/>
    <w:rsid w:val="65ED4F2A"/>
    <w:rsid w:val="65EE2A50"/>
    <w:rsid w:val="65F20792"/>
    <w:rsid w:val="65F91B21"/>
    <w:rsid w:val="65FE7137"/>
    <w:rsid w:val="65FF07B9"/>
    <w:rsid w:val="660109D5"/>
    <w:rsid w:val="66252916"/>
    <w:rsid w:val="662D5327"/>
    <w:rsid w:val="66304E17"/>
    <w:rsid w:val="66326DE1"/>
    <w:rsid w:val="6646463A"/>
    <w:rsid w:val="664977CF"/>
    <w:rsid w:val="664A1A2C"/>
    <w:rsid w:val="665262D5"/>
    <w:rsid w:val="667447B3"/>
    <w:rsid w:val="669B6734"/>
    <w:rsid w:val="669E6224"/>
    <w:rsid w:val="66B141AA"/>
    <w:rsid w:val="66E16111"/>
    <w:rsid w:val="66EC4975"/>
    <w:rsid w:val="66F916AD"/>
    <w:rsid w:val="66F92550"/>
    <w:rsid w:val="67016B09"/>
    <w:rsid w:val="67203D95"/>
    <w:rsid w:val="67281273"/>
    <w:rsid w:val="673E0E8E"/>
    <w:rsid w:val="67486190"/>
    <w:rsid w:val="67597141"/>
    <w:rsid w:val="677903FB"/>
    <w:rsid w:val="677B47B7"/>
    <w:rsid w:val="678216A2"/>
    <w:rsid w:val="67A1421E"/>
    <w:rsid w:val="67AE06E9"/>
    <w:rsid w:val="67B53825"/>
    <w:rsid w:val="67F0485E"/>
    <w:rsid w:val="67F26828"/>
    <w:rsid w:val="67F83FF2"/>
    <w:rsid w:val="68060525"/>
    <w:rsid w:val="68190258"/>
    <w:rsid w:val="6819694F"/>
    <w:rsid w:val="681B27B3"/>
    <w:rsid w:val="6821710D"/>
    <w:rsid w:val="68296F11"/>
    <w:rsid w:val="683116BC"/>
    <w:rsid w:val="68352BB8"/>
    <w:rsid w:val="683E5EB1"/>
    <w:rsid w:val="6841330B"/>
    <w:rsid w:val="684F3C7A"/>
    <w:rsid w:val="6852376A"/>
    <w:rsid w:val="687A4A6F"/>
    <w:rsid w:val="687A5CD7"/>
    <w:rsid w:val="688F3871"/>
    <w:rsid w:val="68914881"/>
    <w:rsid w:val="68945B31"/>
    <w:rsid w:val="689C2C37"/>
    <w:rsid w:val="68A37B22"/>
    <w:rsid w:val="68BC5088"/>
    <w:rsid w:val="68D66149"/>
    <w:rsid w:val="68D862F5"/>
    <w:rsid w:val="68DC76F5"/>
    <w:rsid w:val="68E343C2"/>
    <w:rsid w:val="68E74072"/>
    <w:rsid w:val="68F20AA9"/>
    <w:rsid w:val="69004F74"/>
    <w:rsid w:val="69164798"/>
    <w:rsid w:val="69173BDC"/>
    <w:rsid w:val="691E5254"/>
    <w:rsid w:val="692073C4"/>
    <w:rsid w:val="692C3FBB"/>
    <w:rsid w:val="692D388F"/>
    <w:rsid w:val="694A61EF"/>
    <w:rsid w:val="69631EEC"/>
    <w:rsid w:val="696E0130"/>
    <w:rsid w:val="69715E72"/>
    <w:rsid w:val="697B0A9F"/>
    <w:rsid w:val="69894F6A"/>
    <w:rsid w:val="69956513"/>
    <w:rsid w:val="69AC0C58"/>
    <w:rsid w:val="69B55D5F"/>
    <w:rsid w:val="69BD4674"/>
    <w:rsid w:val="69C25A10"/>
    <w:rsid w:val="69D837FB"/>
    <w:rsid w:val="69DD3507"/>
    <w:rsid w:val="69E81378"/>
    <w:rsid w:val="69F06D97"/>
    <w:rsid w:val="69F83E9D"/>
    <w:rsid w:val="69FC1BE0"/>
    <w:rsid w:val="6A036769"/>
    <w:rsid w:val="6A0648D5"/>
    <w:rsid w:val="6A187115"/>
    <w:rsid w:val="6A1A7EFE"/>
    <w:rsid w:val="6A1C5DDE"/>
    <w:rsid w:val="6A325674"/>
    <w:rsid w:val="6A3C022E"/>
    <w:rsid w:val="6A415844"/>
    <w:rsid w:val="6A4D2C84"/>
    <w:rsid w:val="6A52291B"/>
    <w:rsid w:val="6A5C267E"/>
    <w:rsid w:val="6A6B28C1"/>
    <w:rsid w:val="6A74776B"/>
    <w:rsid w:val="6A7B10E5"/>
    <w:rsid w:val="6A817F02"/>
    <w:rsid w:val="6A8A48EA"/>
    <w:rsid w:val="6AA81420"/>
    <w:rsid w:val="6ABA55F7"/>
    <w:rsid w:val="6ABE162F"/>
    <w:rsid w:val="6ABF2B74"/>
    <w:rsid w:val="6ACF10A2"/>
    <w:rsid w:val="6AD2649C"/>
    <w:rsid w:val="6AD77F57"/>
    <w:rsid w:val="6AE663EC"/>
    <w:rsid w:val="6AF24D91"/>
    <w:rsid w:val="6B030D4C"/>
    <w:rsid w:val="6B105EB6"/>
    <w:rsid w:val="6B351E6F"/>
    <w:rsid w:val="6B362ECF"/>
    <w:rsid w:val="6B3B4041"/>
    <w:rsid w:val="6B482C03"/>
    <w:rsid w:val="6B737C7F"/>
    <w:rsid w:val="6B767770"/>
    <w:rsid w:val="6B7A4051"/>
    <w:rsid w:val="6B855C05"/>
    <w:rsid w:val="6B9B2D32"/>
    <w:rsid w:val="6BBA3B00"/>
    <w:rsid w:val="6BC8789F"/>
    <w:rsid w:val="6BCC32A4"/>
    <w:rsid w:val="6BD83F86"/>
    <w:rsid w:val="6BDC75D6"/>
    <w:rsid w:val="6BDD581C"/>
    <w:rsid w:val="6BE07043"/>
    <w:rsid w:val="6BE14999"/>
    <w:rsid w:val="6BEE4B6A"/>
    <w:rsid w:val="6BF427CD"/>
    <w:rsid w:val="6BF54D15"/>
    <w:rsid w:val="6BF67A1E"/>
    <w:rsid w:val="6BFB5EC7"/>
    <w:rsid w:val="6BFB5FD1"/>
    <w:rsid w:val="6BFE5BEB"/>
    <w:rsid w:val="6C07661A"/>
    <w:rsid w:val="6C256AA0"/>
    <w:rsid w:val="6C262F44"/>
    <w:rsid w:val="6C29298E"/>
    <w:rsid w:val="6C2B3C2F"/>
    <w:rsid w:val="6C553829"/>
    <w:rsid w:val="6C5A0E3F"/>
    <w:rsid w:val="6C5C4BB7"/>
    <w:rsid w:val="6C6475C8"/>
    <w:rsid w:val="6C68355C"/>
    <w:rsid w:val="6C7D38A7"/>
    <w:rsid w:val="6CA4030D"/>
    <w:rsid w:val="6CEB7CE9"/>
    <w:rsid w:val="6CEE77BC"/>
    <w:rsid w:val="6CFE17CB"/>
    <w:rsid w:val="6D12175F"/>
    <w:rsid w:val="6D1F5AF0"/>
    <w:rsid w:val="6D266F73"/>
    <w:rsid w:val="6D314E3E"/>
    <w:rsid w:val="6D323B6A"/>
    <w:rsid w:val="6D42342C"/>
    <w:rsid w:val="6D433682"/>
    <w:rsid w:val="6D6A3304"/>
    <w:rsid w:val="6D6D06FE"/>
    <w:rsid w:val="6D7952F5"/>
    <w:rsid w:val="6D8048D6"/>
    <w:rsid w:val="6D995997"/>
    <w:rsid w:val="6DB620A5"/>
    <w:rsid w:val="6DC72505"/>
    <w:rsid w:val="6DDB5FB0"/>
    <w:rsid w:val="6DE22E9A"/>
    <w:rsid w:val="6DFB1F7E"/>
    <w:rsid w:val="6E1D76E4"/>
    <w:rsid w:val="6E2A65EF"/>
    <w:rsid w:val="6E2C05BA"/>
    <w:rsid w:val="6E3466A6"/>
    <w:rsid w:val="6E386F5E"/>
    <w:rsid w:val="6E3B6A4F"/>
    <w:rsid w:val="6E511637"/>
    <w:rsid w:val="6E5378F4"/>
    <w:rsid w:val="6E544C48"/>
    <w:rsid w:val="6E6164B5"/>
    <w:rsid w:val="6E661D1D"/>
    <w:rsid w:val="6E67178A"/>
    <w:rsid w:val="6E6B7334"/>
    <w:rsid w:val="6E755ABD"/>
    <w:rsid w:val="6E9817AB"/>
    <w:rsid w:val="6E9A5523"/>
    <w:rsid w:val="6EAF6D04"/>
    <w:rsid w:val="6ECF78C3"/>
    <w:rsid w:val="6ED07197"/>
    <w:rsid w:val="6ED54165"/>
    <w:rsid w:val="6EE80984"/>
    <w:rsid w:val="6EEB3FD1"/>
    <w:rsid w:val="6F0C74B5"/>
    <w:rsid w:val="6F0F4773"/>
    <w:rsid w:val="6F141779"/>
    <w:rsid w:val="6F146FCA"/>
    <w:rsid w:val="6F1E43A6"/>
    <w:rsid w:val="6F255735"/>
    <w:rsid w:val="6F2A4AF9"/>
    <w:rsid w:val="6F327E52"/>
    <w:rsid w:val="6F3657AD"/>
    <w:rsid w:val="6F3911E0"/>
    <w:rsid w:val="6F3B10C9"/>
    <w:rsid w:val="6F535138"/>
    <w:rsid w:val="6F5778B8"/>
    <w:rsid w:val="6F5953DE"/>
    <w:rsid w:val="6F5B091E"/>
    <w:rsid w:val="6F5B1156"/>
    <w:rsid w:val="6F6049BF"/>
    <w:rsid w:val="6F6124E5"/>
    <w:rsid w:val="6F751AEC"/>
    <w:rsid w:val="6F7C5FB9"/>
    <w:rsid w:val="6F7E0B88"/>
    <w:rsid w:val="6F8A1C5E"/>
    <w:rsid w:val="6F974373"/>
    <w:rsid w:val="6F9A003B"/>
    <w:rsid w:val="6F9B77A5"/>
    <w:rsid w:val="6FAC3760"/>
    <w:rsid w:val="6FAF7C66"/>
    <w:rsid w:val="6FB22007"/>
    <w:rsid w:val="6FB6638D"/>
    <w:rsid w:val="6FB66F94"/>
    <w:rsid w:val="6FBD3BBF"/>
    <w:rsid w:val="6FC71802"/>
    <w:rsid w:val="6FC74058"/>
    <w:rsid w:val="6FDD2296"/>
    <w:rsid w:val="6FE23626"/>
    <w:rsid w:val="70025A76"/>
    <w:rsid w:val="70040E87"/>
    <w:rsid w:val="701B6B38"/>
    <w:rsid w:val="70330C01"/>
    <w:rsid w:val="704871A4"/>
    <w:rsid w:val="704A4D27"/>
    <w:rsid w:val="70592DFA"/>
    <w:rsid w:val="70645DE9"/>
    <w:rsid w:val="70694F36"/>
    <w:rsid w:val="70700C31"/>
    <w:rsid w:val="70730722"/>
    <w:rsid w:val="70765B1C"/>
    <w:rsid w:val="707D334E"/>
    <w:rsid w:val="70880C5C"/>
    <w:rsid w:val="708B5A6B"/>
    <w:rsid w:val="70950698"/>
    <w:rsid w:val="70AE52B6"/>
    <w:rsid w:val="70B523D0"/>
    <w:rsid w:val="70BD7BEF"/>
    <w:rsid w:val="70CC398E"/>
    <w:rsid w:val="70DD3906"/>
    <w:rsid w:val="70F74EAF"/>
    <w:rsid w:val="7109479F"/>
    <w:rsid w:val="710B70B3"/>
    <w:rsid w:val="711F4406"/>
    <w:rsid w:val="71233EF6"/>
    <w:rsid w:val="71241A1C"/>
    <w:rsid w:val="71453E6C"/>
    <w:rsid w:val="71500A63"/>
    <w:rsid w:val="71685DAD"/>
    <w:rsid w:val="716C2702"/>
    <w:rsid w:val="717165A8"/>
    <w:rsid w:val="717C6248"/>
    <w:rsid w:val="718D5813"/>
    <w:rsid w:val="71992FE7"/>
    <w:rsid w:val="719B076B"/>
    <w:rsid w:val="71B11502"/>
    <w:rsid w:val="71BA7C8A"/>
    <w:rsid w:val="71BE3C1E"/>
    <w:rsid w:val="71C07997"/>
    <w:rsid w:val="71C160BF"/>
    <w:rsid w:val="71D12ED7"/>
    <w:rsid w:val="71DC2403"/>
    <w:rsid w:val="71DF766A"/>
    <w:rsid w:val="71F907B3"/>
    <w:rsid w:val="72037883"/>
    <w:rsid w:val="72165809"/>
    <w:rsid w:val="722E2B52"/>
    <w:rsid w:val="72347A3D"/>
    <w:rsid w:val="723F61FD"/>
    <w:rsid w:val="727A179E"/>
    <w:rsid w:val="728564EA"/>
    <w:rsid w:val="72966949"/>
    <w:rsid w:val="72B34E05"/>
    <w:rsid w:val="72BF7C4E"/>
    <w:rsid w:val="72CA214F"/>
    <w:rsid w:val="72EC7281"/>
    <w:rsid w:val="72FB055A"/>
    <w:rsid w:val="73393BC2"/>
    <w:rsid w:val="73397A01"/>
    <w:rsid w:val="73446EC1"/>
    <w:rsid w:val="735A0201"/>
    <w:rsid w:val="737B44DB"/>
    <w:rsid w:val="737D707B"/>
    <w:rsid w:val="73842E33"/>
    <w:rsid w:val="7386251A"/>
    <w:rsid w:val="738642C8"/>
    <w:rsid w:val="738911A2"/>
    <w:rsid w:val="738D1AFA"/>
    <w:rsid w:val="7391760F"/>
    <w:rsid w:val="739E1612"/>
    <w:rsid w:val="73A77042"/>
    <w:rsid w:val="73AF7CC3"/>
    <w:rsid w:val="73D239B1"/>
    <w:rsid w:val="73D310AD"/>
    <w:rsid w:val="73F00142"/>
    <w:rsid w:val="73F25E01"/>
    <w:rsid w:val="73F531FC"/>
    <w:rsid w:val="74027161"/>
    <w:rsid w:val="740C6EC3"/>
    <w:rsid w:val="74107B3D"/>
    <w:rsid w:val="741915E0"/>
    <w:rsid w:val="74262B1B"/>
    <w:rsid w:val="743B4D3E"/>
    <w:rsid w:val="743F31EB"/>
    <w:rsid w:val="74463A57"/>
    <w:rsid w:val="744E1B8D"/>
    <w:rsid w:val="74556698"/>
    <w:rsid w:val="745F79D2"/>
    <w:rsid w:val="747F1F65"/>
    <w:rsid w:val="7487479C"/>
    <w:rsid w:val="74A0585D"/>
    <w:rsid w:val="74A6094A"/>
    <w:rsid w:val="74BB61F3"/>
    <w:rsid w:val="74CC21DF"/>
    <w:rsid w:val="74E16F35"/>
    <w:rsid w:val="74E635B8"/>
    <w:rsid w:val="74EA0887"/>
    <w:rsid w:val="74EB6AD9"/>
    <w:rsid w:val="74F160B9"/>
    <w:rsid w:val="74F31E31"/>
    <w:rsid w:val="75061B64"/>
    <w:rsid w:val="75087867"/>
    <w:rsid w:val="750C4CA1"/>
    <w:rsid w:val="751A4A64"/>
    <w:rsid w:val="752B5DD3"/>
    <w:rsid w:val="75322959"/>
    <w:rsid w:val="75357D54"/>
    <w:rsid w:val="75387844"/>
    <w:rsid w:val="753F3D93"/>
    <w:rsid w:val="75501031"/>
    <w:rsid w:val="755328D0"/>
    <w:rsid w:val="75532D3D"/>
    <w:rsid w:val="75610B49"/>
    <w:rsid w:val="758805C2"/>
    <w:rsid w:val="7588697C"/>
    <w:rsid w:val="75893930"/>
    <w:rsid w:val="75901D27"/>
    <w:rsid w:val="759058D2"/>
    <w:rsid w:val="759C4277"/>
    <w:rsid w:val="75D94B83"/>
    <w:rsid w:val="75E8126A"/>
    <w:rsid w:val="761107C1"/>
    <w:rsid w:val="761E2EDE"/>
    <w:rsid w:val="761F2330"/>
    <w:rsid w:val="763F26D5"/>
    <w:rsid w:val="764D0528"/>
    <w:rsid w:val="765B1A3C"/>
    <w:rsid w:val="76621CC3"/>
    <w:rsid w:val="768677C8"/>
    <w:rsid w:val="76C82F19"/>
    <w:rsid w:val="76F61765"/>
    <w:rsid w:val="77045A49"/>
    <w:rsid w:val="77260AF8"/>
    <w:rsid w:val="77266E5A"/>
    <w:rsid w:val="77274014"/>
    <w:rsid w:val="77291B31"/>
    <w:rsid w:val="773A3D47"/>
    <w:rsid w:val="774B1AB0"/>
    <w:rsid w:val="7758332B"/>
    <w:rsid w:val="775841CD"/>
    <w:rsid w:val="775A6197"/>
    <w:rsid w:val="775C7088"/>
    <w:rsid w:val="775F37AE"/>
    <w:rsid w:val="77617526"/>
    <w:rsid w:val="77674410"/>
    <w:rsid w:val="776B1866"/>
    <w:rsid w:val="776C7C79"/>
    <w:rsid w:val="77701354"/>
    <w:rsid w:val="7771351C"/>
    <w:rsid w:val="77750DFA"/>
    <w:rsid w:val="77902D8C"/>
    <w:rsid w:val="77980A6E"/>
    <w:rsid w:val="779A189F"/>
    <w:rsid w:val="77A64F39"/>
    <w:rsid w:val="77BC475C"/>
    <w:rsid w:val="77C655DB"/>
    <w:rsid w:val="77D23F80"/>
    <w:rsid w:val="77E93077"/>
    <w:rsid w:val="77ED700C"/>
    <w:rsid w:val="77EF4B32"/>
    <w:rsid w:val="77FE2FC7"/>
    <w:rsid w:val="78177BE5"/>
    <w:rsid w:val="781F51BA"/>
    <w:rsid w:val="78252301"/>
    <w:rsid w:val="78494544"/>
    <w:rsid w:val="785C7CED"/>
    <w:rsid w:val="785E1CB7"/>
    <w:rsid w:val="78680440"/>
    <w:rsid w:val="786D1EFA"/>
    <w:rsid w:val="787011C4"/>
    <w:rsid w:val="788E2C97"/>
    <w:rsid w:val="78902F65"/>
    <w:rsid w:val="78D36201"/>
    <w:rsid w:val="78E431C4"/>
    <w:rsid w:val="78EB4A40"/>
    <w:rsid w:val="791B30E7"/>
    <w:rsid w:val="791C1903"/>
    <w:rsid w:val="79221CC8"/>
    <w:rsid w:val="792627D5"/>
    <w:rsid w:val="79366790"/>
    <w:rsid w:val="795766F4"/>
    <w:rsid w:val="795D3D1D"/>
    <w:rsid w:val="796C6682"/>
    <w:rsid w:val="796E1A86"/>
    <w:rsid w:val="799F4335"/>
    <w:rsid w:val="79B3393D"/>
    <w:rsid w:val="79B7342D"/>
    <w:rsid w:val="79BB696B"/>
    <w:rsid w:val="79C51ADA"/>
    <w:rsid w:val="79C773E8"/>
    <w:rsid w:val="79C8388C"/>
    <w:rsid w:val="79DF2984"/>
    <w:rsid w:val="79E41D48"/>
    <w:rsid w:val="79E85CDC"/>
    <w:rsid w:val="79F53F55"/>
    <w:rsid w:val="79F944AF"/>
    <w:rsid w:val="7A02604B"/>
    <w:rsid w:val="7A2605B3"/>
    <w:rsid w:val="7A2F69EB"/>
    <w:rsid w:val="7A342CD0"/>
    <w:rsid w:val="7A410F49"/>
    <w:rsid w:val="7A4413F9"/>
    <w:rsid w:val="7A477088"/>
    <w:rsid w:val="7A4B626B"/>
    <w:rsid w:val="7A5711E4"/>
    <w:rsid w:val="7A5B64AE"/>
    <w:rsid w:val="7A5E1AFB"/>
    <w:rsid w:val="7A61783D"/>
    <w:rsid w:val="7A65732D"/>
    <w:rsid w:val="7A6D7F90"/>
    <w:rsid w:val="7A744793"/>
    <w:rsid w:val="7A8157E9"/>
    <w:rsid w:val="7A822D65"/>
    <w:rsid w:val="7A8F43AA"/>
    <w:rsid w:val="7A9D6AC7"/>
    <w:rsid w:val="7AB20098"/>
    <w:rsid w:val="7AD46261"/>
    <w:rsid w:val="7AE91D0C"/>
    <w:rsid w:val="7AEA0E27"/>
    <w:rsid w:val="7AF10BC1"/>
    <w:rsid w:val="7AF16E13"/>
    <w:rsid w:val="7AF406B1"/>
    <w:rsid w:val="7B022DCE"/>
    <w:rsid w:val="7B0703E4"/>
    <w:rsid w:val="7B347AFD"/>
    <w:rsid w:val="7B36319C"/>
    <w:rsid w:val="7B42141C"/>
    <w:rsid w:val="7B430CF1"/>
    <w:rsid w:val="7B5A49B8"/>
    <w:rsid w:val="7B5E5E4F"/>
    <w:rsid w:val="7B675C99"/>
    <w:rsid w:val="7B7535A0"/>
    <w:rsid w:val="7BAF6112"/>
    <w:rsid w:val="7BB67714"/>
    <w:rsid w:val="7BBE1FE9"/>
    <w:rsid w:val="7BC736D0"/>
    <w:rsid w:val="7BCC6F38"/>
    <w:rsid w:val="7C084414"/>
    <w:rsid w:val="7C091F3A"/>
    <w:rsid w:val="7C121C56"/>
    <w:rsid w:val="7C1F350C"/>
    <w:rsid w:val="7C3E7E36"/>
    <w:rsid w:val="7C4A702F"/>
    <w:rsid w:val="7C5C4760"/>
    <w:rsid w:val="7C653614"/>
    <w:rsid w:val="7C6F4493"/>
    <w:rsid w:val="7C6F7FEF"/>
    <w:rsid w:val="7C735E4E"/>
    <w:rsid w:val="7C8C507A"/>
    <w:rsid w:val="7C9B27A8"/>
    <w:rsid w:val="7CAA0245"/>
    <w:rsid w:val="7CAF4890"/>
    <w:rsid w:val="7CB9570E"/>
    <w:rsid w:val="7CC0084B"/>
    <w:rsid w:val="7CD42548"/>
    <w:rsid w:val="7CDD764F"/>
    <w:rsid w:val="7CDE33C7"/>
    <w:rsid w:val="7CEA58C8"/>
    <w:rsid w:val="7CF624BE"/>
    <w:rsid w:val="7D071AF5"/>
    <w:rsid w:val="7D162B61"/>
    <w:rsid w:val="7D1D5C9D"/>
    <w:rsid w:val="7D394FD8"/>
    <w:rsid w:val="7D407BDD"/>
    <w:rsid w:val="7D4B2481"/>
    <w:rsid w:val="7D4F6073"/>
    <w:rsid w:val="7D5D253D"/>
    <w:rsid w:val="7D657644"/>
    <w:rsid w:val="7D6852A5"/>
    <w:rsid w:val="7D7E7646"/>
    <w:rsid w:val="7D951CD7"/>
    <w:rsid w:val="7D975558"/>
    <w:rsid w:val="7DA0067C"/>
    <w:rsid w:val="7DBF4FA6"/>
    <w:rsid w:val="7DC26738"/>
    <w:rsid w:val="7DD50326"/>
    <w:rsid w:val="7DD911EB"/>
    <w:rsid w:val="7DEC14A3"/>
    <w:rsid w:val="7DF509C8"/>
    <w:rsid w:val="7DFB3B97"/>
    <w:rsid w:val="7E002EC9"/>
    <w:rsid w:val="7E0B3D48"/>
    <w:rsid w:val="7E1370A0"/>
    <w:rsid w:val="7E1E7F1F"/>
    <w:rsid w:val="7E215319"/>
    <w:rsid w:val="7E2412AD"/>
    <w:rsid w:val="7E2B263C"/>
    <w:rsid w:val="7E537C0B"/>
    <w:rsid w:val="7E6A1DB7"/>
    <w:rsid w:val="7E6B6EDC"/>
    <w:rsid w:val="7E6F077A"/>
    <w:rsid w:val="7E786F03"/>
    <w:rsid w:val="7E81225C"/>
    <w:rsid w:val="7E972C19"/>
    <w:rsid w:val="7EB268B9"/>
    <w:rsid w:val="7EBB2BFC"/>
    <w:rsid w:val="7ECF2FC7"/>
    <w:rsid w:val="7EE10F4C"/>
    <w:rsid w:val="7EE54599"/>
    <w:rsid w:val="7EE822DB"/>
    <w:rsid w:val="7EFB3DBC"/>
    <w:rsid w:val="7EFC5B0D"/>
    <w:rsid w:val="7F192494"/>
    <w:rsid w:val="7F277470"/>
    <w:rsid w:val="7F2D7CEE"/>
    <w:rsid w:val="7F4F5BD2"/>
    <w:rsid w:val="7F5931D8"/>
    <w:rsid w:val="7F6556D9"/>
    <w:rsid w:val="7F6E4E40"/>
    <w:rsid w:val="7F7E2419"/>
    <w:rsid w:val="7F8244DD"/>
    <w:rsid w:val="7F856BE9"/>
    <w:rsid w:val="7F8F6BFA"/>
    <w:rsid w:val="7FDD1714"/>
    <w:rsid w:val="7FE56BB4"/>
    <w:rsid w:val="7FEC5DFB"/>
    <w:rsid w:val="7FF34B5A"/>
    <w:rsid w:val="7FF801FE"/>
    <w:rsid w:val="7FFB7D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qFormat="1" w:unhideWhenUsed="0" w:uiPriority="72"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4">
    <w:name w:val="heading 1"/>
    <w:basedOn w:val="1"/>
    <w:next w:val="1"/>
    <w:link w:val="122"/>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5">
    <w:name w:val="heading 2"/>
    <w:basedOn w:val="1"/>
    <w:next w:val="1"/>
    <w:link w:val="66"/>
    <w:qFormat/>
    <w:uiPriority w:val="99"/>
    <w:pPr>
      <w:spacing w:before="260" w:after="260" w:line="416" w:lineRule="atLeast"/>
      <w:outlineLvl w:val="1"/>
    </w:pPr>
    <w:rPr>
      <w:rFonts w:ascii="Cambria" w:hAnsi="Cambria"/>
      <w:sz w:val="32"/>
      <w:szCs w:val="32"/>
    </w:rPr>
  </w:style>
  <w:style w:type="paragraph" w:styleId="6">
    <w:name w:val="heading 3"/>
    <w:basedOn w:val="1"/>
    <w:next w:val="1"/>
    <w:link w:val="300"/>
    <w:qFormat/>
    <w:uiPriority w:val="99"/>
    <w:pPr>
      <w:tabs>
        <w:tab w:val="left" w:pos="588"/>
      </w:tabs>
      <w:spacing w:line="360" w:lineRule="auto"/>
      <w:outlineLvl w:val="2"/>
    </w:pPr>
    <w:rPr>
      <w:rFonts w:ascii="Tahoma" w:hAnsi="Tahoma"/>
    </w:rPr>
  </w:style>
  <w:style w:type="paragraph" w:styleId="7">
    <w:name w:val="heading 4"/>
    <w:basedOn w:val="1"/>
    <w:next w:val="1"/>
    <w:link w:val="140"/>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8">
    <w:name w:val="heading 5"/>
    <w:basedOn w:val="1"/>
    <w:next w:val="1"/>
    <w:link w:val="105"/>
    <w:qFormat/>
    <w:uiPriority w:val="99"/>
    <w:pPr>
      <w:keepNext/>
      <w:keepLines/>
      <w:spacing w:before="280" w:after="290" w:line="376" w:lineRule="auto"/>
      <w:ind w:left="1008" w:hanging="1008"/>
      <w:outlineLvl w:val="4"/>
    </w:pPr>
    <w:rPr>
      <w:b/>
      <w:bCs/>
      <w:sz w:val="24"/>
      <w:szCs w:val="28"/>
    </w:rPr>
  </w:style>
  <w:style w:type="paragraph" w:styleId="9">
    <w:name w:val="heading 6"/>
    <w:basedOn w:val="1"/>
    <w:next w:val="1"/>
    <w:link w:val="64"/>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10">
    <w:name w:val="heading 7"/>
    <w:basedOn w:val="1"/>
    <w:next w:val="1"/>
    <w:link w:val="124"/>
    <w:qFormat/>
    <w:uiPriority w:val="99"/>
    <w:pPr>
      <w:keepNext/>
      <w:keepLines/>
      <w:spacing w:before="240" w:after="64" w:line="320" w:lineRule="auto"/>
      <w:ind w:left="1296" w:hanging="1296"/>
      <w:outlineLvl w:val="6"/>
    </w:pPr>
    <w:rPr>
      <w:b/>
      <w:bCs/>
      <w:sz w:val="24"/>
      <w:szCs w:val="28"/>
    </w:rPr>
  </w:style>
  <w:style w:type="paragraph" w:styleId="11">
    <w:name w:val="heading 8"/>
    <w:basedOn w:val="1"/>
    <w:next w:val="1"/>
    <w:link w:val="110"/>
    <w:qFormat/>
    <w:uiPriority w:val="99"/>
    <w:pPr>
      <w:keepNext/>
      <w:keepLines/>
      <w:spacing w:before="240" w:after="64" w:line="320" w:lineRule="auto"/>
      <w:ind w:left="1440" w:hanging="1440"/>
      <w:outlineLvl w:val="7"/>
    </w:pPr>
    <w:rPr>
      <w:rFonts w:ascii="Arial" w:hAnsi="Arial" w:eastAsia="黑体"/>
      <w:sz w:val="24"/>
      <w:szCs w:val="28"/>
    </w:rPr>
  </w:style>
  <w:style w:type="paragraph" w:styleId="12">
    <w:name w:val="heading 9"/>
    <w:basedOn w:val="1"/>
    <w:next w:val="1"/>
    <w:link w:val="126"/>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3">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37"/>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
    <w:name w:val="toc 8"/>
    <w:basedOn w:val="1"/>
    <w:next w:val="1"/>
    <w:qFormat/>
    <w:uiPriority w:val="39"/>
    <w:pPr>
      <w:spacing w:line="440" w:lineRule="exact"/>
      <w:ind w:left="1960"/>
      <w:jc w:val="left"/>
    </w:pPr>
    <w:rPr>
      <w:rFonts w:ascii="Calibri" w:hAnsi="Calibri"/>
      <w:sz w:val="18"/>
      <w:szCs w:val="18"/>
    </w:rPr>
  </w:style>
  <w:style w:type="paragraph" w:styleId="13">
    <w:name w:val="toc 7"/>
    <w:basedOn w:val="1"/>
    <w:next w:val="1"/>
    <w:qFormat/>
    <w:uiPriority w:val="39"/>
    <w:pPr>
      <w:spacing w:line="440" w:lineRule="exact"/>
      <w:ind w:left="1680"/>
      <w:jc w:val="left"/>
    </w:pPr>
    <w:rPr>
      <w:rFonts w:ascii="Calibri" w:hAnsi="Calibri"/>
      <w:sz w:val="18"/>
      <w:szCs w:val="18"/>
    </w:rPr>
  </w:style>
  <w:style w:type="paragraph" w:styleId="14">
    <w:name w:val="Note Heading"/>
    <w:basedOn w:val="15"/>
    <w:next w:val="15"/>
    <w:link w:val="200"/>
    <w:qFormat/>
    <w:uiPriority w:val="0"/>
    <w:rPr>
      <w:rFonts w:ascii="..ì." w:eastAsia="..ì." w:cs="Times New Roman"/>
      <w:color w:val="auto"/>
      <w:szCs w:val="20"/>
    </w:rPr>
  </w:style>
  <w:style w:type="paragraph" w:customStyle="1" w:styleId="15">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6">
    <w:name w:val="Normal Indent"/>
    <w:basedOn w:val="1"/>
    <w:next w:val="17"/>
    <w:link w:val="136"/>
    <w:qFormat/>
    <w:uiPriority w:val="0"/>
    <w:pPr>
      <w:spacing w:line="360" w:lineRule="auto"/>
      <w:ind w:firstLine="200" w:firstLineChars="200"/>
    </w:pPr>
    <w:rPr>
      <w:sz w:val="24"/>
      <w:szCs w:val="20"/>
    </w:rPr>
  </w:style>
  <w:style w:type="paragraph" w:styleId="17">
    <w:name w:val="toc 4"/>
    <w:basedOn w:val="1"/>
    <w:next w:val="1"/>
    <w:qFormat/>
    <w:uiPriority w:val="39"/>
    <w:pPr>
      <w:spacing w:line="440" w:lineRule="exact"/>
      <w:ind w:left="840"/>
      <w:jc w:val="left"/>
    </w:pPr>
    <w:rPr>
      <w:rFonts w:ascii="Calibri" w:hAnsi="Calibri"/>
      <w:sz w:val="18"/>
      <w:szCs w:val="18"/>
    </w:rPr>
  </w:style>
  <w:style w:type="paragraph" w:styleId="18">
    <w:name w:val="caption"/>
    <w:basedOn w:val="1"/>
    <w:next w:val="1"/>
    <w:link w:val="97"/>
    <w:qFormat/>
    <w:uiPriority w:val="0"/>
    <w:pPr>
      <w:spacing w:line="480" w:lineRule="auto"/>
    </w:pPr>
    <w:rPr>
      <w:rFonts w:ascii="华文中宋" w:eastAsia="华文中宋"/>
      <w:sz w:val="36"/>
      <w:szCs w:val="20"/>
    </w:rPr>
  </w:style>
  <w:style w:type="paragraph" w:styleId="19">
    <w:name w:val="index 5"/>
    <w:basedOn w:val="1"/>
    <w:next w:val="1"/>
    <w:qFormat/>
    <w:uiPriority w:val="99"/>
    <w:pPr>
      <w:ind w:left="800" w:leftChars="800"/>
    </w:pPr>
    <w:rPr>
      <w:rFonts w:eastAsia="宋体"/>
    </w:rPr>
  </w:style>
  <w:style w:type="paragraph" w:styleId="20">
    <w:name w:val="Document Map"/>
    <w:basedOn w:val="1"/>
    <w:link w:val="131"/>
    <w:qFormat/>
    <w:uiPriority w:val="99"/>
    <w:pPr>
      <w:spacing w:line="440" w:lineRule="exact"/>
    </w:pPr>
    <w:rPr>
      <w:rFonts w:ascii="宋体"/>
      <w:sz w:val="18"/>
      <w:szCs w:val="18"/>
    </w:rPr>
  </w:style>
  <w:style w:type="paragraph" w:styleId="21">
    <w:name w:val="toa heading"/>
    <w:basedOn w:val="1"/>
    <w:next w:val="1"/>
    <w:unhideWhenUsed/>
    <w:qFormat/>
    <w:uiPriority w:val="99"/>
    <w:pPr>
      <w:spacing w:before="120"/>
    </w:pPr>
    <w:rPr>
      <w:rFonts w:ascii="Cambria" w:hAnsi="Cambria" w:eastAsia="宋体"/>
      <w:sz w:val="24"/>
    </w:rPr>
  </w:style>
  <w:style w:type="paragraph" w:styleId="22">
    <w:name w:val="annotation text"/>
    <w:basedOn w:val="1"/>
    <w:link w:val="103"/>
    <w:qFormat/>
    <w:uiPriority w:val="0"/>
    <w:pPr>
      <w:jc w:val="left"/>
    </w:pPr>
    <w:rPr>
      <w:rFonts w:ascii="Tahoma" w:hAnsi="Tahoma"/>
    </w:rPr>
  </w:style>
  <w:style w:type="paragraph" w:styleId="23">
    <w:name w:val="Salutation"/>
    <w:basedOn w:val="15"/>
    <w:next w:val="15"/>
    <w:link w:val="199"/>
    <w:qFormat/>
    <w:uiPriority w:val="0"/>
    <w:rPr>
      <w:rFonts w:ascii="..ì." w:eastAsia="..ì." w:cs="Times New Roman"/>
      <w:color w:val="auto"/>
      <w:szCs w:val="20"/>
    </w:rPr>
  </w:style>
  <w:style w:type="paragraph" w:styleId="24">
    <w:name w:val="Body Text 3"/>
    <w:basedOn w:val="1"/>
    <w:link w:val="207"/>
    <w:qFormat/>
    <w:uiPriority w:val="99"/>
    <w:pPr>
      <w:spacing w:after="120"/>
    </w:pPr>
    <w:rPr>
      <w:rFonts w:eastAsia="宋体"/>
      <w:sz w:val="16"/>
      <w:szCs w:val="16"/>
    </w:rPr>
  </w:style>
  <w:style w:type="paragraph" w:styleId="25">
    <w:name w:val="Body Text"/>
    <w:basedOn w:val="1"/>
    <w:next w:val="1"/>
    <w:link w:val="134"/>
    <w:qFormat/>
    <w:uiPriority w:val="99"/>
    <w:pPr>
      <w:spacing w:line="360" w:lineRule="auto"/>
    </w:pPr>
    <w:rPr>
      <w:rFonts w:ascii="Tahoma" w:hAnsi="Tahoma"/>
    </w:rPr>
  </w:style>
  <w:style w:type="paragraph" w:styleId="26">
    <w:name w:val="Body Text Indent"/>
    <w:basedOn w:val="1"/>
    <w:link w:val="166"/>
    <w:qFormat/>
    <w:uiPriority w:val="99"/>
    <w:pPr>
      <w:widowControl/>
      <w:spacing w:line="360" w:lineRule="auto"/>
      <w:ind w:firstLine="709"/>
      <w:jc w:val="left"/>
    </w:pPr>
    <w:rPr>
      <w:rFonts w:ascii="Tahoma" w:hAnsi="Tahoma"/>
    </w:rPr>
  </w:style>
  <w:style w:type="paragraph" w:styleId="27">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8">
    <w:name w:val="List Bullet 2"/>
    <w:basedOn w:val="1"/>
    <w:qFormat/>
    <w:uiPriority w:val="0"/>
    <w:pPr>
      <w:numPr>
        <w:ilvl w:val="1"/>
        <w:numId w:val="1"/>
      </w:numPr>
      <w:spacing w:line="360" w:lineRule="auto"/>
    </w:pPr>
    <w:rPr>
      <w:sz w:val="24"/>
      <w:szCs w:val="28"/>
    </w:rPr>
  </w:style>
  <w:style w:type="paragraph" w:styleId="29">
    <w:name w:val="toc 5"/>
    <w:basedOn w:val="1"/>
    <w:next w:val="1"/>
    <w:qFormat/>
    <w:uiPriority w:val="39"/>
    <w:pPr>
      <w:spacing w:line="440" w:lineRule="exact"/>
      <w:ind w:left="1120"/>
      <w:jc w:val="left"/>
    </w:pPr>
    <w:rPr>
      <w:rFonts w:ascii="Calibri" w:hAnsi="Calibri"/>
      <w:sz w:val="18"/>
      <w:szCs w:val="18"/>
    </w:rPr>
  </w:style>
  <w:style w:type="paragraph" w:styleId="30">
    <w:name w:val="toc 3"/>
    <w:basedOn w:val="1"/>
    <w:next w:val="1"/>
    <w:qFormat/>
    <w:uiPriority w:val="39"/>
    <w:pPr>
      <w:tabs>
        <w:tab w:val="right" w:leader="dot" w:pos="8302"/>
      </w:tabs>
      <w:ind w:left="561"/>
      <w:jc w:val="left"/>
    </w:pPr>
    <w:rPr>
      <w:rFonts w:ascii="Calibri" w:hAnsi="Calibri"/>
      <w:iCs/>
      <w:sz w:val="20"/>
      <w:szCs w:val="20"/>
    </w:rPr>
  </w:style>
  <w:style w:type="paragraph" w:styleId="31">
    <w:name w:val="Plain Text"/>
    <w:basedOn w:val="1"/>
    <w:link w:val="221"/>
    <w:qFormat/>
    <w:uiPriority w:val="0"/>
    <w:pPr>
      <w:spacing w:line="360" w:lineRule="auto"/>
    </w:pPr>
    <w:rPr>
      <w:rFonts w:ascii="宋体" w:hAnsi="Courier New"/>
      <w:szCs w:val="21"/>
    </w:rPr>
  </w:style>
  <w:style w:type="paragraph" w:styleId="32">
    <w:name w:val="Date"/>
    <w:basedOn w:val="1"/>
    <w:next w:val="1"/>
    <w:link w:val="197"/>
    <w:qFormat/>
    <w:uiPriority w:val="99"/>
    <w:pPr>
      <w:spacing w:line="360" w:lineRule="auto"/>
      <w:ind w:left="2500" w:leftChars="2500"/>
    </w:pPr>
    <w:rPr>
      <w:rFonts w:ascii="Tahoma" w:hAnsi="Tahoma"/>
    </w:rPr>
  </w:style>
  <w:style w:type="paragraph" w:styleId="33">
    <w:name w:val="Body Text Indent 2"/>
    <w:basedOn w:val="1"/>
    <w:link w:val="162"/>
    <w:qFormat/>
    <w:uiPriority w:val="99"/>
    <w:pPr>
      <w:adjustRightInd w:val="0"/>
      <w:snapToGrid w:val="0"/>
      <w:spacing w:afterLines="25" w:line="420" w:lineRule="exact"/>
      <w:ind w:left="778" w:leftChars="378"/>
    </w:pPr>
    <w:rPr>
      <w:rFonts w:eastAsia="宋体"/>
      <w:sz w:val="24"/>
      <w:szCs w:val="30"/>
    </w:rPr>
  </w:style>
  <w:style w:type="paragraph" w:styleId="34">
    <w:name w:val="Balloon Text"/>
    <w:basedOn w:val="1"/>
    <w:link w:val="99"/>
    <w:qFormat/>
    <w:uiPriority w:val="0"/>
    <w:rPr>
      <w:sz w:val="18"/>
      <w:szCs w:val="18"/>
    </w:rPr>
  </w:style>
  <w:style w:type="paragraph" w:styleId="35">
    <w:name w:val="header"/>
    <w:basedOn w:val="1"/>
    <w:link w:val="123"/>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6">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10"/>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8"/>
    <w:qFormat/>
    <w:uiPriority w:val="99"/>
    <w:pPr>
      <w:spacing w:line="360" w:lineRule="auto"/>
      <w:ind w:right="26"/>
    </w:pPr>
    <w:rPr>
      <w:rFonts w:ascii="宋体" w:eastAsia="宋体"/>
      <w:szCs w:val="20"/>
    </w:rPr>
  </w:style>
  <w:style w:type="paragraph" w:styleId="43">
    <w:name w:val="HTML Preformatted"/>
    <w:basedOn w:val="1"/>
    <w:link w:val="2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5"/>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2"/>
    <w:next w:val="22"/>
    <w:link w:val="129"/>
    <w:unhideWhenUsed/>
    <w:qFormat/>
    <w:uiPriority w:val="99"/>
    <w:pPr>
      <w:spacing w:line="440" w:lineRule="exact"/>
    </w:pPr>
    <w:rPr>
      <w:b/>
      <w:bCs/>
      <w:sz w:val="24"/>
      <w:szCs w:val="28"/>
    </w:rPr>
  </w:style>
  <w:style w:type="paragraph" w:styleId="48">
    <w:name w:val="Body Text First Indent"/>
    <w:basedOn w:val="25"/>
    <w:link w:val="132"/>
    <w:qFormat/>
    <w:uiPriority w:val="0"/>
    <w:pPr>
      <w:spacing w:after="120" w:line="240" w:lineRule="auto"/>
      <w:ind w:firstLine="100" w:firstLineChars="100"/>
    </w:pPr>
  </w:style>
  <w:style w:type="paragraph" w:styleId="49">
    <w:name w:val="Body Text First Indent 2"/>
    <w:basedOn w:val="26"/>
    <w:link w:val="167"/>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2">
    <w:name w:val="Medium Grid 1 Accent 3"/>
    <w:basedOn w:val="50"/>
    <w:qFormat/>
    <w:uiPriority w:val="72"/>
    <w:tblPr>
      <w:tblBorders>
        <w:top w:val="single" w:color="B4CC82" w:sz="8" w:space="0"/>
        <w:left w:val="single" w:color="B4CC82" w:sz="8" w:space="0"/>
        <w:bottom w:val="single" w:color="B4CC82" w:sz="8" w:space="0"/>
        <w:right w:val="single" w:color="B4CC82" w:sz="8" w:space="0"/>
        <w:insideH w:val="single" w:color="B4CC82" w:sz="8" w:space="0"/>
        <w:insideV w:val="single" w:color="B4CC82" w:sz="8" w:space="0"/>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color="BBBBBB"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character" w:styleId="54">
    <w:name w:val="Strong"/>
    <w:qFormat/>
    <w:uiPriority w:val="0"/>
  </w:style>
  <w:style w:type="character" w:styleId="55">
    <w:name w:val="page number"/>
    <w:basedOn w:val="53"/>
    <w:qFormat/>
    <w:uiPriority w:val="99"/>
  </w:style>
  <w:style w:type="character" w:styleId="56">
    <w:name w:val="FollowedHyperlink"/>
    <w:unhideWhenUsed/>
    <w:qFormat/>
    <w:uiPriority w:val="99"/>
    <w:rPr>
      <w:color w:val="954F72"/>
      <w:u w:val="single"/>
    </w:rPr>
  </w:style>
  <w:style w:type="character" w:styleId="57">
    <w:name w:val="Emphasis"/>
    <w:qFormat/>
    <w:uiPriority w:val="0"/>
    <w:rPr>
      <w:i/>
      <w:iCs/>
    </w:rPr>
  </w:style>
  <w:style w:type="character" w:styleId="58">
    <w:name w:val="HTML Definition"/>
    <w:unhideWhenUsed/>
    <w:qFormat/>
    <w:uiPriority w:val="0"/>
  </w:style>
  <w:style w:type="character" w:styleId="59">
    <w:name w:val="HTML Variable"/>
    <w:unhideWhenUsed/>
    <w:qFormat/>
    <w:uiPriority w:val="0"/>
  </w:style>
  <w:style w:type="character" w:styleId="60">
    <w:name w:val="Hyperlink"/>
    <w:qFormat/>
    <w:uiPriority w:val="99"/>
    <w:rPr>
      <w:rFonts w:hint="eastAsia" w:ascii="宋体" w:hAnsi="宋体" w:eastAsia="宋体" w:cs="宋体"/>
      <w:color w:val="004A85"/>
      <w:sz w:val="12"/>
      <w:szCs w:val="12"/>
      <w:u w:val="single"/>
    </w:rPr>
  </w:style>
  <w:style w:type="character" w:styleId="61">
    <w:name w:val="HTML Code"/>
    <w:unhideWhenUsed/>
    <w:qFormat/>
    <w:uiPriority w:val="0"/>
    <w:rPr>
      <w:rFonts w:ascii="Courier New" w:hAnsi="Courier New"/>
      <w:sz w:val="20"/>
    </w:rPr>
  </w:style>
  <w:style w:type="character" w:styleId="62">
    <w:name w:val="annotation reference"/>
    <w:qFormat/>
    <w:uiPriority w:val="99"/>
    <w:rPr>
      <w:sz w:val="21"/>
      <w:szCs w:val="21"/>
    </w:rPr>
  </w:style>
  <w:style w:type="character" w:styleId="63">
    <w:name w:val="HTML Cite"/>
    <w:unhideWhenUsed/>
    <w:qFormat/>
    <w:uiPriority w:val="0"/>
  </w:style>
  <w:style w:type="character" w:customStyle="1" w:styleId="64">
    <w:name w:val="标题 6 Char"/>
    <w:link w:val="9"/>
    <w:qFormat/>
    <w:uiPriority w:val="99"/>
    <w:rPr>
      <w:rFonts w:ascii="Arial" w:hAnsi="Arial" w:eastAsia="黑体"/>
      <w:b/>
      <w:bCs/>
      <w:kern w:val="2"/>
      <w:sz w:val="24"/>
      <w:szCs w:val="28"/>
    </w:rPr>
  </w:style>
  <w:style w:type="character" w:customStyle="1" w:styleId="65">
    <w:name w:val="标题 3 Char"/>
    <w:qFormat/>
    <w:uiPriority w:val="99"/>
    <w:rPr>
      <w:rFonts w:ascii="Tahoma" w:hAnsi="Tahoma"/>
      <w:b/>
      <w:bCs/>
      <w:kern w:val="2"/>
      <w:sz w:val="32"/>
      <w:szCs w:val="32"/>
    </w:rPr>
  </w:style>
  <w:style w:type="character" w:customStyle="1" w:styleId="66">
    <w:name w:val="标题 2 Char"/>
    <w:link w:val="5"/>
    <w:qFormat/>
    <w:uiPriority w:val="99"/>
    <w:rPr>
      <w:rFonts w:ascii="Cambria" w:hAnsi="Cambria"/>
      <w:b/>
      <w:bCs/>
      <w:kern w:val="2"/>
      <w:sz w:val="32"/>
      <w:szCs w:val="32"/>
    </w:rPr>
  </w:style>
  <w:style w:type="paragraph" w:customStyle="1" w:styleId="6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8">
    <w:name w:val="列出段落2"/>
    <w:basedOn w:val="1"/>
    <w:unhideWhenUsed/>
    <w:qFormat/>
    <w:uiPriority w:val="0"/>
    <w:pPr>
      <w:ind w:firstLine="420" w:firstLineChars="200"/>
    </w:pPr>
  </w:style>
  <w:style w:type="paragraph" w:customStyle="1" w:styleId="69">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70">
    <w:name w:val="_Style 67"/>
    <w:basedOn w:val="1"/>
    <w:next w:val="71"/>
    <w:qFormat/>
    <w:uiPriority w:val="99"/>
    <w:pPr>
      <w:ind w:firstLine="420" w:firstLineChars="200"/>
    </w:pPr>
    <w:rPr>
      <w:rFonts w:ascii="Calibri" w:hAnsi="Calibri"/>
      <w:szCs w:val="22"/>
    </w:rPr>
  </w:style>
  <w:style w:type="paragraph" w:styleId="71">
    <w:name w:val="List Paragraph"/>
    <w:basedOn w:val="1"/>
    <w:qFormat/>
    <w:uiPriority w:val="34"/>
    <w:pPr>
      <w:ind w:firstLine="420" w:firstLineChars="200"/>
    </w:pPr>
    <w:rPr>
      <w:rFonts w:ascii="Calibri" w:hAnsi="Calibri" w:eastAsia="宋体"/>
      <w:szCs w:val="22"/>
    </w:rPr>
  </w:style>
  <w:style w:type="paragraph" w:customStyle="1" w:styleId="72">
    <w:name w:val="_Style 2"/>
    <w:basedOn w:val="1"/>
    <w:qFormat/>
    <w:uiPriority w:val="34"/>
    <w:pPr>
      <w:ind w:firstLine="420" w:firstLineChars="200"/>
    </w:pPr>
    <w:rPr>
      <w:rFonts w:ascii="Calibri" w:hAnsi="Calibri"/>
      <w:szCs w:val="22"/>
    </w:rPr>
  </w:style>
  <w:style w:type="paragraph" w:customStyle="1" w:styleId="73">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4">
    <w:name w:val="TOC 标题1"/>
    <w:basedOn w:val="4"/>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5">
    <w:name w:val="封面落款"/>
    <w:basedOn w:val="1"/>
    <w:qFormat/>
    <w:uiPriority w:val="0"/>
    <w:pPr>
      <w:spacing w:line="360" w:lineRule="auto"/>
      <w:jc w:val="center"/>
    </w:pPr>
    <w:rPr>
      <w:rFonts w:ascii="Arial" w:hAnsi="Arial" w:eastAsia="黑体"/>
      <w:sz w:val="32"/>
      <w:szCs w:val="28"/>
    </w:rPr>
  </w:style>
  <w:style w:type="paragraph" w:customStyle="1" w:styleId="76">
    <w:name w:val="目录"/>
    <w:link w:val="107"/>
    <w:qFormat/>
    <w:uiPriority w:val="0"/>
    <w:pPr>
      <w:spacing w:before="156" w:after="156"/>
    </w:pPr>
    <w:rPr>
      <w:rFonts w:ascii="仿宋_GB2312" w:hAnsi="宋体" w:eastAsia="仿宋_GB2312" w:cs="Times New Roman"/>
      <w:sz w:val="28"/>
      <w:szCs w:val="28"/>
      <w:lang w:val="en-US" w:eastAsia="zh-CN" w:bidi="ar-SA"/>
    </w:rPr>
  </w:style>
  <w:style w:type="paragraph" w:customStyle="1" w:styleId="77">
    <w:name w:val="表格字体小四"/>
    <w:link w:val="106"/>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8">
    <w:name w:val="样式 标题 5 + 小四"/>
    <w:basedOn w:val="8"/>
    <w:qFormat/>
    <w:uiPriority w:val="0"/>
    <w:pPr>
      <w:tabs>
        <w:tab w:val="left" w:pos="567"/>
      </w:tabs>
      <w:wordWrap w:val="0"/>
      <w:spacing w:line="377" w:lineRule="auto"/>
      <w:ind w:left="567" w:hanging="567"/>
      <w:jc w:val="left"/>
    </w:pPr>
  </w:style>
  <w:style w:type="paragraph" w:customStyle="1" w:styleId="79">
    <w:name w:val="表格格式"/>
    <w:basedOn w:val="1"/>
    <w:qFormat/>
    <w:uiPriority w:val="0"/>
    <w:pPr>
      <w:adjustRightInd w:val="0"/>
      <w:snapToGrid w:val="0"/>
      <w:jc w:val="left"/>
      <w:textAlignment w:val="baseline"/>
    </w:pPr>
    <w:rPr>
      <w:rFonts w:ascii="宋体"/>
      <w:kern w:val="0"/>
      <w:szCs w:val="20"/>
    </w:rPr>
  </w:style>
  <w:style w:type="paragraph" w:customStyle="1" w:styleId="80">
    <w:name w:val="样式5"/>
    <w:basedOn w:val="16"/>
    <w:qFormat/>
    <w:uiPriority w:val="0"/>
    <w:pPr>
      <w:ind w:firstLine="420"/>
    </w:pPr>
    <w:rPr>
      <w:sz w:val="21"/>
      <w:szCs w:val="21"/>
    </w:rPr>
  </w:style>
  <w:style w:type="paragraph" w:customStyle="1" w:styleId="81">
    <w:name w:val="标题2"/>
    <w:basedOn w:val="5"/>
    <w:next w:val="1"/>
    <w:link w:val="98"/>
    <w:qFormat/>
    <w:uiPriority w:val="0"/>
    <w:pPr>
      <w:widowControl/>
      <w:spacing w:beforeLines="10" w:afterLines="10" w:line="240" w:lineRule="auto"/>
      <w:jc w:val="left"/>
    </w:pPr>
    <w:rPr>
      <w:rFonts w:ascii="Times New Roman" w:hAnsi="Times New Roman" w:eastAsia="黑体"/>
      <w:b/>
      <w:bCs/>
      <w:szCs w:val="24"/>
    </w:rPr>
  </w:style>
  <w:style w:type="paragraph" w:customStyle="1" w:styleId="82">
    <w:name w:val="三级"/>
    <w:basedOn w:val="5"/>
    <w:link w:val="108"/>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3">
    <w:name w:val="样式2"/>
    <w:basedOn w:val="1"/>
    <w:link w:val="119"/>
    <w:qFormat/>
    <w:uiPriority w:val="0"/>
    <w:pPr>
      <w:spacing w:line="300" w:lineRule="auto"/>
      <w:jc w:val="center"/>
      <w:outlineLvl w:val="0"/>
    </w:pPr>
    <w:rPr>
      <w:b/>
      <w:sz w:val="24"/>
    </w:rPr>
  </w:style>
  <w:style w:type="paragraph" w:customStyle="1" w:styleId="84">
    <w:name w:val="Char1"/>
    <w:basedOn w:val="1"/>
    <w:qFormat/>
    <w:uiPriority w:val="0"/>
    <w:pPr>
      <w:adjustRightInd w:val="0"/>
      <w:spacing w:line="360" w:lineRule="auto"/>
    </w:pPr>
    <w:rPr>
      <w:kern w:val="0"/>
      <w:sz w:val="24"/>
      <w:szCs w:val="20"/>
    </w:rPr>
  </w:style>
  <w:style w:type="paragraph" w:customStyle="1" w:styleId="85">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6">
    <w:name w:val="标题3"/>
    <w:basedOn w:val="6"/>
    <w:next w:val="1"/>
    <w:link w:val="139"/>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7">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8">
    <w:name w:val="表格标题"/>
    <w:basedOn w:val="18"/>
    <w:link w:val="133"/>
    <w:qFormat/>
    <w:uiPriority w:val="0"/>
    <w:pPr>
      <w:spacing w:before="152" w:after="160" w:line="420" w:lineRule="exact"/>
      <w:ind w:firstLine="480" w:firstLineChars="200"/>
      <w:jc w:val="center"/>
    </w:pPr>
    <w:rPr>
      <w:rFonts w:ascii="Arial" w:hAnsi="Arial" w:eastAsia="宋体"/>
      <w:sz w:val="24"/>
      <w:szCs w:val="24"/>
    </w:rPr>
  </w:style>
  <w:style w:type="paragraph" w:customStyle="1" w:styleId="89">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90">
    <w:name w:val="图片"/>
    <w:basedOn w:val="1"/>
    <w:link w:val="121"/>
    <w:qFormat/>
    <w:uiPriority w:val="0"/>
    <w:pPr>
      <w:jc w:val="center"/>
    </w:pPr>
    <w:rPr>
      <w:sz w:val="28"/>
      <w:szCs w:val="28"/>
    </w:rPr>
  </w:style>
  <w:style w:type="paragraph" w:customStyle="1" w:styleId="91">
    <w:name w:val="正文首行缩进1"/>
    <w:basedOn w:val="25"/>
    <w:qFormat/>
    <w:uiPriority w:val="0"/>
    <w:pPr>
      <w:suppressAutoHyphens/>
      <w:spacing w:line="300" w:lineRule="auto"/>
      <w:ind w:left="426"/>
    </w:pPr>
    <w:rPr>
      <w:rFonts w:ascii="宋体" w:hAnsi="宋体"/>
      <w:szCs w:val="20"/>
    </w:rPr>
  </w:style>
  <w:style w:type="paragraph" w:customStyle="1" w:styleId="92">
    <w:name w:val="纯文本1"/>
    <w:basedOn w:val="1"/>
    <w:qFormat/>
    <w:uiPriority w:val="0"/>
    <w:rPr>
      <w:rFonts w:ascii="宋体" w:hAnsi="Courier New"/>
    </w:rPr>
  </w:style>
  <w:style w:type="paragraph" w:customStyle="1" w:styleId="93">
    <w:name w:val="样式 首行不缩进"/>
    <w:basedOn w:val="1"/>
    <w:qFormat/>
    <w:uiPriority w:val="0"/>
    <w:pPr>
      <w:spacing w:before="120" w:after="120" w:line="360" w:lineRule="auto"/>
      <w:jc w:val="center"/>
    </w:pPr>
    <w:rPr>
      <w:rFonts w:cs="宋体"/>
      <w:sz w:val="24"/>
      <w:szCs w:val="20"/>
    </w:rPr>
  </w:style>
  <w:style w:type="paragraph" w:customStyle="1" w:styleId="94">
    <w:name w:val="图题"/>
    <w:link w:val="115"/>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5">
    <w:name w:val="小列表"/>
    <w:basedOn w:val="1"/>
    <w:link w:val="101"/>
    <w:qFormat/>
    <w:uiPriority w:val="0"/>
    <w:pPr>
      <w:numPr>
        <w:ilvl w:val="0"/>
        <w:numId w:val="2"/>
      </w:numPr>
      <w:autoSpaceDE w:val="0"/>
      <w:autoSpaceDN w:val="0"/>
      <w:spacing w:line="440" w:lineRule="exact"/>
      <w:ind w:firstLine="0"/>
    </w:pPr>
    <w:rPr>
      <w:sz w:val="24"/>
      <w:szCs w:val="28"/>
    </w:rPr>
  </w:style>
  <w:style w:type="paragraph" w:customStyle="1" w:styleId="96">
    <w:name w:val="表格正文"/>
    <w:basedOn w:val="1"/>
    <w:qFormat/>
    <w:uiPriority w:val="0"/>
    <w:pPr>
      <w:widowControl/>
      <w:snapToGrid w:val="0"/>
      <w:spacing w:before="60" w:after="60"/>
      <w:ind w:left="11"/>
      <w:jc w:val="center"/>
    </w:pPr>
    <w:rPr>
      <w:kern w:val="0"/>
      <w:szCs w:val="21"/>
    </w:rPr>
  </w:style>
  <w:style w:type="character" w:customStyle="1" w:styleId="97">
    <w:name w:val="题注 Char"/>
    <w:link w:val="18"/>
    <w:qFormat/>
    <w:uiPriority w:val="0"/>
    <w:rPr>
      <w:rFonts w:ascii="华文中宋" w:eastAsia="华文中宋"/>
      <w:kern w:val="2"/>
      <w:sz w:val="36"/>
    </w:rPr>
  </w:style>
  <w:style w:type="character" w:customStyle="1" w:styleId="98">
    <w:name w:val="标题2 Char Char"/>
    <w:link w:val="81"/>
    <w:qFormat/>
    <w:uiPriority w:val="0"/>
    <w:rPr>
      <w:rFonts w:eastAsia="黑体"/>
      <w:kern w:val="2"/>
      <w:sz w:val="32"/>
      <w:szCs w:val="24"/>
    </w:rPr>
  </w:style>
  <w:style w:type="character" w:customStyle="1" w:styleId="99">
    <w:name w:val="批注框文本 Char"/>
    <w:link w:val="34"/>
    <w:qFormat/>
    <w:uiPriority w:val="0"/>
    <w:rPr>
      <w:kern w:val="2"/>
      <w:sz w:val="18"/>
      <w:szCs w:val="18"/>
    </w:rPr>
  </w:style>
  <w:style w:type="character" w:customStyle="1" w:styleId="100">
    <w:name w:val="refresh"/>
    <w:basedOn w:val="53"/>
    <w:qFormat/>
    <w:uiPriority w:val="0"/>
  </w:style>
  <w:style w:type="character" w:customStyle="1" w:styleId="101">
    <w:name w:val="小列表 Char Char"/>
    <w:link w:val="95"/>
    <w:qFormat/>
    <w:uiPriority w:val="0"/>
    <w:rPr>
      <w:rFonts w:eastAsia="Arial Unicode MS"/>
      <w:kern w:val="2"/>
      <w:sz w:val="24"/>
      <w:szCs w:val="28"/>
    </w:rPr>
  </w:style>
  <w:style w:type="character" w:customStyle="1" w:styleId="102">
    <w:name w:val="del"/>
    <w:basedOn w:val="53"/>
    <w:qFormat/>
    <w:uiPriority w:val="0"/>
  </w:style>
  <w:style w:type="character" w:customStyle="1" w:styleId="103">
    <w:name w:val="批注文字 Char1"/>
    <w:link w:val="22"/>
    <w:qFormat/>
    <w:uiPriority w:val="0"/>
    <w:rPr>
      <w:rFonts w:ascii="Tahoma" w:hAnsi="Tahoma"/>
      <w:kern w:val="2"/>
      <w:sz w:val="21"/>
      <w:szCs w:val="24"/>
    </w:rPr>
  </w:style>
  <w:style w:type="character" w:customStyle="1" w:styleId="104">
    <w:name w:val="正文缩进 Char1"/>
    <w:qFormat/>
    <w:uiPriority w:val="0"/>
    <w:rPr>
      <w:rFonts w:eastAsia="宋体"/>
      <w:kern w:val="2"/>
      <w:sz w:val="21"/>
      <w:szCs w:val="24"/>
      <w:lang w:val="en-US" w:eastAsia="zh-CN" w:bidi="ar-SA"/>
    </w:rPr>
  </w:style>
  <w:style w:type="character" w:customStyle="1" w:styleId="105">
    <w:name w:val="标题 5 Char"/>
    <w:link w:val="8"/>
    <w:qFormat/>
    <w:uiPriority w:val="99"/>
    <w:rPr>
      <w:b/>
      <w:bCs/>
      <w:kern w:val="2"/>
      <w:sz w:val="24"/>
      <w:szCs w:val="28"/>
    </w:rPr>
  </w:style>
  <w:style w:type="character" w:customStyle="1" w:styleId="106">
    <w:name w:val="表格字体小四 Char Char"/>
    <w:link w:val="77"/>
    <w:qFormat/>
    <w:uiPriority w:val="0"/>
    <w:rPr>
      <w:kern w:val="2"/>
      <w:sz w:val="24"/>
      <w:szCs w:val="24"/>
      <w:lang w:val="en-US" w:eastAsia="zh-CN" w:bidi="ar-SA"/>
    </w:rPr>
  </w:style>
  <w:style w:type="character" w:customStyle="1" w:styleId="107">
    <w:name w:val="目录 Char Char"/>
    <w:link w:val="76"/>
    <w:qFormat/>
    <w:uiPriority w:val="0"/>
    <w:rPr>
      <w:rFonts w:ascii="仿宋_GB2312" w:hAnsi="宋体" w:eastAsia="仿宋_GB2312"/>
      <w:sz w:val="28"/>
      <w:szCs w:val="28"/>
      <w:lang w:val="en-US" w:eastAsia="zh-CN" w:bidi="ar-SA"/>
    </w:rPr>
  </w:style>
  <w:style w:type="character" w:customStyle="1" w:styleId="108">
    <w:name w:val="三级 Char Char"/>
    <w:link w:val="82"/>
    <w:qFormat/>
    <w:uiPriority w:val="0"/>
    <w:rPr>
      <w:rFonts w:eastAsia="黑体"/>
      <w:bCs/>
      <w:kern w:val="2"/>
      <w:sz w:val="30"/>
      <w:szCs w:val="24"/>
    </w:rPr>
  </w:style>
  <w:style w:type="character" w:customStyle="1" w:styleId="109">
    <w:name w:val="label"/>
    <w:basedOn w:val="53"/>
    <w:qFormat/>
    <w:uiPriority w:val="0"/>
  </w:style>
  <w:style w:type="character" w:customStyle="1" w:styleId="110">
    <w:name w:val="标题 8 Char"/>
    <w:link w:val="11"/>
    <w:qFormat/>
    <w:uiPriority w:val="99"/>
    <w:rPr>
      <w:rFonts w:ascii="Arial" w:hAnsi="Arial" w:eastAsia="黑体"/>
      <w:kern w:val="2"/>
      <w:sz w:val="24"/>
      <w:szCs w:val="28"/>
    </w:rPr>
  </w:style>
  <w:style w:type="character" w:customStyle="1" w:styleId="111">
    <w:name w:val="open2"/>
    <w:basedOn w:val="53"/>
    <w:qFormat/>
    <w:uiPriority w:val="0"/>
  </w:style>
  <w:style w:type="character" w:customStyle="1" w:styleId="112">
    <w:name w:val="15"/>
    <w:qFormat/>
    <w:uiPriority w:val="0"/>
    <w:rPr>
      <w:rFonts w:hint="default" w:ascii="Calibri" w:hAnsi="Calibri" w:cs="Calibri"/>
      <w:color w:val="0000FF"/>
      <w:u w:val="single"/>
    </w:rPr>
  </w:style>
  <w:style w:type="character" w:customStyle="1" w:styleId="113">
    <w:name w:val="trans"/>
    <w:basedOn w:val="53"/>
    <w:qFormat/>
    <w:uiPriority w:val="0"/>
  </w:style>
  <w:style w:type="character" w:customStyle="1" w:styleId="114">
    <w:name w:val="del2"/>
    <w:basedOn w:val="53"/>
    <w:qFormat/>
    <w:uiPriority w:val="0"/>
  </w:style>
  <w:style w:type="character" w:customStyle="1" w:styleId="115">
    <w:name w:val="图题 Char Char"/>
    <w:link w:val="94"/>
    <w:qFormat/>
    <w:uiPriority w:val="0"/>
    <w:rPr>
      <w:kern w:val="2"/>
      <w:sz w:val="24"/>
      <w:szCs w:val="24"/>
      <w:lang w:val="en-US" w:eastAsia="zh-CN" w:bidi="ar-SA"/>
    </w:rPr>
  </w:style>
  <w:style w:type="character" w:customStyle="1" w:styleId="116">
    <w:name w:val="pagelinks"/>
    <w:basedOn w:val="53"/>
    <w:qFormat/>
    <w:uiPriority w:val="0"/>
  </w:style>
  <w:style w:type="character" w:customStyle="1" w:styleId="117">
    <w:name w:val="morewin"/>
    <w:basedOn w:val="53"/>
    <w:qFormat/>
    <w:uiPriority w:val="0"/>
  </w:style>
  <w:style w:type="character" w:customStyle="1" w:styleId="118">
    <w:name w:val="open"/>
    <w:basedOn w:val="53"/>
    <w:qFormat/>
    <w:uiPriority w:val="0"/>
  </w:style>
  <w:style w:type="character" w:customStyle="1" w:styleId="119">
    <w:name w:val="样式2 Char Char"/>
    <w:link w:val="83"/>
    <w:qFormat/>
    <w:uiPriority w:val="0"/>
    <w:rPr>
      <w:b/>
      <w:kern w:val="2"/>
      <w:sz w:val="24"/>
      <w:szCs w:val="24"/>
    </w:rPr>
  </w:style>
  <w:style w:type="character" w:customStyle="1" w:styleId="120">
    <w:name w:val="批注文字 Char"/>
    <w:qFormat/>
    <w:uiPriority w:val="99"/>
    <w:rPr>
      <w:kern w:val="2"/>
      <w:sz w:val="24"/>
      <w:szCs w:val="28"/>
    </w:rPr>
  </w:style>
  <w:style w:type="character" w:customStyle="1" w:styleId="121">
    <w:name w:val="图片 Char Char"/>
    <w:link w:val="90"/>
    <w:qFormat/>
    <w:uiPriority w:val="0"/>
    <w:rPr>
      <w:kern w:val="2"/>
      <w:sz w:val="28"/>
      <w:szCs w:val="28"/>
    </w:rPr>
  </w:style>
  <w:style w:type="character" w:customStyle="1" w:styleId="122">
    <w:name w:val="标题 1 Char"/>
    <w:link w:val="4"/>
    <w:qFormat/>
    <w:uiPriority w:val="99"/>
    <w:rPr>
      <w:rFonts w:ascii="Tahoma" w:hAnsi="Tahoma"/>
      <w:b/>
      <w:bCs/>
      <w:kern w:val="44"/>
      <w:sz w:val="24"/>
      <w:szCs w:val="44"/>
    </w:rPr>
  </w:style>
  <w:style w:type="character" w:customStyle="1" w:styleId="123">
    <w:name w:val="页眉 Char"/>
    <w:link w:val="35"/>
    <w:qFormat/>
    <w:uiPriority w:val="99"/>
    <w:rPr>
      <w:rFonts w:ascii="Tahoma" w:hAnsi="Tahoma"/>
      <w:kern w:val="2"/>
      <w:sz w:val="18"/>
      <w:szCs w:val="18"/>
    </w:rPr>
  </w:style>
  <w:style w:type="character" w:customStyle="1" w:styleId="124">
    <w:name w:val="标题 7 Char"/>
    <w:link w:val="10"/>
    <w:qFormat/>
    <w:uiPriority w:val="99"/>
    <w:rPr>
      <w:b/>
      <w:bCs/>
      <w:kern w:val="2"/>
      <w:sz w:val="24"/>
      <w:szCs w:val="28"/>
    </w:rPr>
  </w:style>
  <w:style w:type="character" w:customStyle="1" w:styleId="125">
    <w:name w:val="标题 Char"/>
    <w:link w:val="46"/>
    <w:qFormat/>
    <w:uiPriority w:val="0"/>
    <w:rPr>
      <w:rFonts w:ascii="Cambria" w:hAnsi="Cambria"/>
      <w:b/>
      <w:bCs/>
      <w:kern w:val="2"/>
      <w:sz w:val="32"/>
      <w:szCs w:val="32"/>
    </w:rPr>
  </w:style>
  <w:style w:type="character" w:customStyle="1" w:styleId="126">
    <w:name w:val="标题 9 Char"/>
    <w:link w:val="12"/>
    <w:qFormat/>
    <w:uiPriority w:val="99"/>
    <w:rPr>
      <w:rFonts w:ascii="Arial" w:hAnsi="Arial" w:eastAsia="黑体"/>
      <w:kern w:val="2"/>
      <w:sz w:val="24"/>
      <w:szCs w:val="21"/>
    </w:rPr>
  </w:style>
  <w:style w:type="character" w:customStyle="1" w:styleId="127">
    <w:name w:val="error"/>
    <w:qFormat/>
    <w:uiPriority w:val="0"/>
    <w:rPr>
      <w:color w:val="CC0000"/>
    </w:rPr>
  </w:style>
  <w:style w:type="character" w:customStyle="1" w:styleId="128">
    <w:name w:val="add"/>
    <w:basedOn w:val="53"/>
    <w:qFormat/>
    <w:uiPriority w:val="0"/>
  </w:style>
  <w:style w:type="character" w:customStyle="1" w:styleId="129">
    <w:name w:val="批注主题 Char"/>
    <w:link w:val="47"/>
    <w:qFormat/>
    <w:uiPriority w:val="99"/>
    <w:rPr>
      <w:rFonts w:ascii="Tahoma" w:hAnsi="Tahoma"/>
      <w:b/>
      <w:bCs/>
      <w:kern w:val="2"/>
      <w:sz w:val="24"/>
      <w:szCs w:val="28"/>
    </w:rPr>
  </w:style>
  <w:style w:type="character" w:customStyle="1" w:styleId="130">
    <w:name w:val="pagebanner"/>
    <w:basedOn w:val="53"/>
    <w:qFormat/>
    <w:uiPriority w:val="0"/>
  </w:style>
  <w:style w:type="character" w:customStyle="1" w:styleId="131">
    <w:name w:val="文档结构图 Char"/>
    <w:link w:val="20"/>
    <w:qFormat/>
    <w:uiPriority w:val="99"/>
    <w:rPr>
      <w:rFonts w:ascii="宋体"/>
      <w:kern w:val="2"/>
      <w:sz w:val="18"/>
      <w:szCs w:val="18"/>
    </w:rPr>
  </w:style>
  <w:style w:type="character" w:customStyle="1" w:styleId="132">
    <w:name w:val="正文首行缩进 Char"/>
    <w:link w:val="48"/>
    <w:qFormat/>
    <w:uiPriority w:val="0"/>
    <w:rPr>
      <w:rFonts w:ascii="Tahoma" w:hAnsi="Tahoma"/>
      <w:kern w:val="2"/>
      <w:sz w:val="21"/>
      <w:szCs w:val="24"/>
    </w:rPr>
  </w:style>
  <w:style w:type="character" w:customStyle="1" w:styleId="133">
    <w:name w:val="表格标题 Char Char"/>
    <w:link w:val="88"/>
    <w:qFormat/>
    <w:uiPriority w:val="0"/>
    <w:rPr>
      <w:rFonts w:ascii="Arial" w:hAnsi="Arial" w:cs="Arial"/>
      <w:kern w:val="2"/>
      <w:sz w:val="24"/>
      <w:szCs w:val="24"/>
    </w:rPr>
  </w:style>
  <w:style w:type="character" w:customStyle="1" w:styleId="134">
    <w:name w:val="正文文本 Char"/>
    <w:link w:val="25"/>
    <w:qFormat/>
    <w:uiPriority w:val="99"/>
    <w:rPr>
      <w:rFonts w:ascii="Tahoma" w:hAnsi="Tahoma"/>
      <w:kern w:val="2"/>
      <w:sz w:val="21"/>
      <w:szCs w:val="24"/>
    </w:rPr>
  </w:style>
  <w:style w:type="character" w:customStyle="1" w:styleId="135">
    <w:name w:val="10"/>
    <w:qFormat/>
    <w:uiPriority w:val="0"/>
    <w:rPr>
      <w:rFonts w:hint="default" w:ascii="Calibri" w:hAnsi="Calibri" w:cs="Calibri"/>
    </w:rPr>
  </w:style>
  <w:style w:type="character" w:customStyle="1" w:styleId="136">
    <w:name w:val="正文缩进 Char"/>
    <w:link w:val="16"/>
    <w:qFormat/>
    <w:uiPriority w:val="0"/>
    <w:rPr>
      <w:kern w:val="2"/>
      <w:sz w:val="24"/>
    </w:rPr>
  </w:style>
  <w:style w:type="character" w:customStyle="1" w:styleId="137">
    <w:name w:val="页脚 Char"/>
    <w:link w:val="2"/>
    <w:qFormat/>
    <w:uiPriority w:val="99"/>
    <w:rPr>
      <w:rFonts w:ascii="Tahoma" w:hAnsi="Tahoma"/>
      <w:kern w:val="2"/>
      <w:sz w:val="18"/>
      <w:szCs w:val="18"/>
    </w:rPr>
  </w:style>
  <w:style w:type="character" w:customStyle="1" w:styleId="138">
    <w:name w:val="mod"/>
    <w:basedOn w:val="53"/>
    <w:qFormat/>
    <w:uiPriority w:val="0"/>
  </w:style>
  <w:style w:type="character" w:customStyle="1" w:styleId="139">
    <w:name w:val="标题3 Char Char"/>
    <w:link w:val="86"/>
    <w:qFormat/>
    <w:uiPriority w:val="0"/>
    <w:rPr>
      <w:rFonts w:eastAsia="黑体"/>
      <w:kern w:val="2"/>
      <w:sz w:val="28"/>
      <w:szCs w:val="32"/>
    </w:rPr>
  </w:style>
  <w:style w:type="character" w:customStyle="1" w:styleId="140">
    <w:name w:val="标题 4 Char"/>
    <w:link w:val="7"/>
    <w:qFormat/>
    <w:uiPriority w:val="99"/>
    <w:rPr>
      <w:b/>
      <w:sz w:val="24"/>
      <w:szCs w:val="24"/>
    </w:rPr>
  </w:style>
  <w:style w:type="paragraph" w:customStyle="1" w:styleId="141">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2">
    <w:name w:val="redfilefwwh"/>
    <w:basedOn w:val="53"/>
    <w:qFormat/>
    <w:uiPriority w:val="0"/>
    <w:rPr>
      <w:color w:val="BA2636"/>
      <w:sz w:val="12"/>
      <w:szCs w:val="12"/>
    </w:rPr>
  </w:style>
  <w:style w:type="character" w:customStyle="1" w:styleId="143">
    <w:name w:val="gjfg"/>
    <w:basedOn w:val="53"/>
    <w:qFormat/>
    <w:uiPriority w:val="0"/>
  </w:style>
  <w:style w:type="character" w:customStyle="1" w:styleId="144">
    <w:name w:val="redfilenumber"/>
    <w:basedOn w:val="53"/>
    <w:qFormat/>
    <w:uiPriority w:val="0"/>
    <w:rPr>
      <w:color w:val="BA2636"/>
      <w:sz w:val="12"/>
      <w:szCs w:val="12"/>
    </w:rPr>
  </w:style>
  <w:style w:type="character" w:customStyle="1" w:styleId="145">
    <w:name w:val="qxdate"/>
    <w:basedOn w:val="53"/>
    <w:qFormat/>
    <w:uiPriority w:val="0"/>
    <w:rPr>
      <w:color w:val="333333"/>
      <w:sz w:val="12"/>
      <w:szCs w:val="12"/>
    </w:rPr>
  </w:style>
  <w:style w:type="character" w:customStyle="1" w:styleId="146">
    <w:name w:val="prev"/>
    <w:basedOn w:val="53"/>
    <w:qFormat/>
    <w:uiPriority w:val="0"/>
    <w:rPr>
      <w:rFonts w:ascii="微软雅黑" w:hAnsi="微软雅黑" w:eastAsia="微软雅黑" w:cs="微软雅黑"/>
      <w:sz w:val="14"/>
      <w:szCs w:val="14"/>
    </w:rPr>
  </w:style>
  <w:style w:type="character" w:customStyle="1" w:styleId="147">
    <w:name w:val="cfdate"/>
    <w:basedOn w:val="53"/>
    <w:qFormat/>
    <w:uiPriority w:val="0"/>
    <w:rPr>
      <w:color w:val="333333"/>
      <w:sz w:val="12"/>
      <w:szCs w:val="12"/>
    </w:rPr>
  </w:style>
  <w:style w:type="character" w:customStyle="1" w:styleId="148">
    <w:name w:val="displayarti"/>
    <w:basedOn w:val="53"/>
    <w:qFormat/>
    <w:uiPriority w:val="0"/>
    <w:rPr>
      <w:color w:val="FFFFFF"/>
      <w:shd w:val="clear" w:color="auto" w:fill="A00000"/>
    </w:rPr>
  </w:style>
  <w:style w:type="character" w:customStyle="1" w:styleId="149">
    <w:name w:val="next2"/>
    <w:basedOn w:val="53"/>
    <w:qFormat/>
    <w:uiPriority w:val="0"/>
    <w:rPr>
      <w:rFonts w:hint="eastAsia" w:ascii="微软雅黑" w:hAnsi="微软雅黑" w:eastAsia="微软雅黑" w:cs="微软雅黑"/>
      <w:sz w:val="14"/>
      <w:szCs w:val="14"/>
    </w:rPr>
  </w:style>
  <w:style w:type="character" w:customStyle="1" w:styleId="150">
    <w:name w:val="next3"/>
    <w:basedOn w:val="53"/>
    <w:qFormat/>
    <w:uiPriority w:val="0"/>
    <w:rPr>
      <w:color w:val="888888"/>
    </w:rPr>
  </w:style>
  <w:style w:type="character" w:customStyle="1" w:styleId="151">
    <w:name w:val="next"/>
    <w:basedOn w:val="53"/>
    <w:qFormat/>
    <w:uiPriority w:val="0"/>
    <w:rPr>
      <w:rFonts w:ascii="微软雅黑" w:hAnsi="微软雅黑" w:eastAsia="微软雅黑" w:cs="微软雅黑"/>
      <w:sz w:val="14"/>
      <w:szCs w:val="14"/>
    </w:rPr>
  </w:style>
  <w:style w:type="character" w:customStyle="1" w:styleId="152">
    <w:name w:val="prev1"/>
    <w:basedOn w:val="53"/>
    <w:qFormat/>
    <w:uiPriority w:val="0"/>
    <w:rPr>
      <w:color w:val="888888"/>
    </w:rPr>
  </w:style>
  <w:style w:type="paragraph" w:customStyle="1" w:styleId="153">
    <w:name w:val="Body text|21"/>
    <w:basedOn w:val="1"/>
    <w:link w:val="155"/>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4">
    <w:name w:val="Body text|2 + Spacing 0 pt"/>
    <w:basedOn w:val="155"/>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5">
    <w:name w:val="Body text|2_"/>
    <w:basedOn w:val="53"/>
    <w:link w:val="153"/>
    <w:qFormat/>
    <w:uiPriority w:val="0"/>
    <w:rPr>
      <w:rFonts w:ascii="PMingLiU" w:hAnsi="PMingLiU" w:eastAsia="PMingLiU" w:cs="PMingLiU"/>
      <w:spacing w:val="30"/>
    </w:rPr>
  </w:style>
  <w:style w:type="character" w:customStyle="1" w:styleId="156">
    <w:name w:val="Body text|2 + Spacing 3 pt"/>
    <w:basedOn w:val="155"/>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7">
    <w:name w:val="图文"/>
    <w:basedOn w:val="1"/>
    <w:qFormat/>
    <w:uiPriority w:val="0"/>
    <w:pPr>
      <w:adjustRightInd w:val="0"/>
      <w:snapToGrid w:val="0"/>
      <w:spacing w:after="50" w:line="360" w:lineRule="auto"/>
    </w:pPr>
    <w:rPr>
      <w:sz w:val="24"/>
    </w:rPr>
  </w:style>
  <w:style w:type="paragraph" w:customStyle="1" w:styleId="158">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9">
    <w:name w:val="Char"/>
    <w:basedOn w:val="1"/>
    <w:qFormat/>
    <w:uiPriority w:val="0"/>
    <w:rPr>
      <w:rFonts w:ascii="仿宋_GB2312" w:eastAsia="仿宋_GB2312"/>
      <w:b/>
      <w:sz w:val="32"/>
      <w:szCs w:val="32"/>
    </w:rPr>
  </w:style>
  <w:style w:type="paragraph" w:customStyle="1" w:styleId="160">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1">
    <w:name w:val="1"/>
    <w:basedOn w:val="1"/>
    <w:next w:val="26"/>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2">
    <w:name w:val="正文文本缩进 2 Char"/>
    <w:basedOn w:val="53"/>
    <w:link w:val="33"/>
    <w:qFormat/>
    <w:uiPriority w:val="99"/>
    <w:rPr>
      <w:rFonts w:ascii="Times New Roman" w:hAnsi="Times New Roman" w:eastAsia="宋体" w:cs="Times New Roman"/>
      <w:kern w:val="2"/>
      <w:sz w:val="24"/>
      <w:szCs w:val="30"/>
    </w:rPr>
  </w:style>
  <w:style w:type="paragraph" w:customStyle="1" w:styleId="16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4">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5">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6">
    <w:name w:val="正文文本缩进 Char"/>
    <w:basedOn w:val="53"/>
    <w:link w:val="26"/>
    <w:qFormat/>
    <w:uiPriority w:val="99"/>
    <w:rPr>
      <w:rFonts w:ascii="Tahoma" w:hAnsi="Tahoma" w:eastAsia="Arial Unicode MS" w:cs="Times New Roman"/>
      <w:kern w:val="2"/>
      <w:sz w:val="21"/>
      <w:szCs w:val="24"/>
    </w:rPr>
  </w:style>
  <w:style w:type="character" w:customStyle="1" w:styleId="167">
    <w:name w:val="正文首行缩进 2 Char"/>
    <w:basedOn w:val="166"/>
    <w:link w:val="49"/>
    <w:qFormat/>
    <w:uiPriority w:val="0"/>
    <w:rPr>
      <w:rFonts w:ascii="Times New Roman" w:hAnsi="Times New Roman" w:eastAsia="宋体" w:cs="Times New Roman"/>
      <w:kern w:val="2"/>
      <w:sz w:val="21"/>
      <w:szCs w:val="24"/>
    </w:rPr>
  </w:style>
  <w:style w:type="character" w:customStyle="1" w:styleId="168">
    <w:name w:val="正文文本 2 Char"/>
    <w:basedOn w:val="53"/>
    <w:link w:val="42"/>
    <w:qFormat/>
    <w:uiPriority w:val="99"/>
    <w:rPr>
      <w:rFonts w:ascii="宋体" w:hAnsi="Times New Roman" w:eastAsia="宋体" w:cs="Times New Roman"/>
      <w:kern w:val="2"/>
      <w:sz w:val="21"/>
    </w:rPr>
  </w:style>
  <w:style w:type="paragraph" w:customStyle="1" w:styleId="169">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0">
    <w:name w:val="样式 标题 2 + (符号) 宋体 小四"/>
    <w:basedOn w:val="5"/>
    <w:qFormat/>
    <w:uiPriority w:val="0"/>
    <w:pPr>
      <w:keepNext/>
      <w:keepLines/>
      <w:spacing w:line="416" w:lineRule="auto"/>
    </w:pPr>
    <w:rPr>
      <w:rFonts w:ascii="Arial" w:hAnsi="Arial" w:eastAsia="宋体"/>
      <w:bCs/>
      <w:sz w:val="24"/>
    </w:rPr>
  </w:style>
  <w:style w:type="character" w:customStyle="1" w:styleId="171">
    <w:name w:val="Char2"/>
    <w:qFormat/>
    <w:uiPriority w:val="0"/>
    <w:rPr>
      <w:rFonts w:ascii="Arial" w:hAnsi="Arial" w:eastAsia="黑体"/>
      <w:b/>
      <w:bCs/>
      <w:kern w:val="2"/>
      <w:sz w:val="32"/>
      <w:szCs w:val="32"/>
      <w:lang w:val="en-US" w:eastAsia="zh-CN" w:bidi="ar-SA"/>
    </w:rPr>
  </w:style>
  <w:style w:type="character" w:customStyle="1" w:styleId="172">
    <w:name w:val="样式 标题 2 + (符号) 宋体 小四 Char"/>
    <w:qFormat/>
    <w:uiPriority w:val="0"/>
    <w:rPr>
      <w:rFonts w:ascii="Arial" w:hAnsi="Arial" w:eastAsia="宋体"/>
      <w:b/>
      <w:bCs/>
      <w:kern w:val="2"/>
      <w:sz w:val="24"/>
      <w:szCs w:val="32"/>
      <w:lang w:val="en-US" w:eastAsia="zh-CN" w:bidi="ar-SA"/>
    </w:rPr>
  </w:style>
  <w:style w:type="paragraph" w:customStyle="1" w:styleId="173">
    <w:name w:val="样式1"/>
    <w:basedOn w:val="1"/>
    <w:next w:val="6"/>
    <w:qFormat/>
    <w:uiPriority w:val="99"/>
    <w:rPr>
      <w:rFonts w:eastAsia="宋体"/>
      <w:sz w:val="24"/>
      <w:szCs w:val="20"/>
    </w:rPr>
  </w:style>
  <w:style w:type="paragraph" w:customStyle="1" w:styleId="174">
    <w:name w:val="默认段落字体 Para Char Char Char Char Char Char Char Char Char Char"/>
    <w:basedOn w:val="20"/>
    <w:qFormat/>
    <w:uiPriority w:val="0"/>
    <w:pPr>
      <w:shd w:val="clear" w:color="auto" w:fill="000080"/>
      <w:spacing w:line="240" w:lineRule="auto"/>
    </w:pPr>
    <w:rPr>
      <w:rFonts w:ascii="Tahoma" w:hAnsi="Tahoma" w:eastAsia="宋体"/>
      <w:sz w:val="24"/>
      <w:szCs w:val="24"/>
    </w:rPr>
  </w:style>
  <w:style w:type="paragraph" w:customStyle="1" w:styleId="175">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6">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8">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6">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7">
    <w:name w:val="日期 Char"/>
    <w:link w:val="32"/>
    <w:qFormat/>
    <w:uiPriority w:val="99"/>
    <w:rPr>
      <w:rFonts w:ascii="Tahoma" w:hAnsi="Tahoma" w:eastAsia="Arial Unicode MS" w:cs="Times New Roman"/>
      <w:kern w:val="2"/>
      <w:sz w:val="21"/>
      <w:szCs w:val="24"/>
    </w:rPr>
  </w:style>
  <w:style w:type="character" w:customStyle="1" w:styleId="198">
    <w:name w:val="Char Char"/>
    <w:qFormat/>
    <w:uiPriority w:val="0"/>
    <w:rPr>
      <w:rFonts w:eastAsia="宋体"/>
      <w:kern w:val="2"/>
      <w:sz w:val="24"/>
      <w:lang w:val="en-US" w:eastAsia="zh-CN" w:bidi="ar-SA"/>
    </w:rPr>
  </w:style>
  <w:style w:type="character" w:customStyle="1" w:styleId="199">
    <w:name w:val="称呼 Char"/>
    <w:basedOn w:val="53"/>
    <w:link w:val="23"/>
    <w:qFormat/>
    <w:uiPriority w:val="0"/>
    <w:rPr>
      <w:rFonts w:ascii="..ì." w:hAnsi="Times New Roman" w:eastAsia="..ì." w:cs="Times New Roman"/>
      <w:sz w:val="24"/>
    </w:rPr>
  </w:style>
  <w:style w:type="character" w:customStyle="1" w:styleId="200">
    <w:name w:val="注释标题 Char"/>
    <w:basedOn w:val="53"/>
    <w:link w:val="14"/>
    <w:qFormat/>
    <w:uiPriority w:val="0"/>
    <w:rPr>
      <w:rFonts w:ascii="..ì." w:hAnsi="Times New Roman" w:eastAsia="..ì." w:cs="Times New Roman"/>
      <w:sz w:val="24"/>
    </w:rPr>
  </w:style>
  <w:style w:type="paragraph" w:customStyle="1" w:styleId="201">
    <w:name w:val="1 Char Char Char Char"/>
    <w:basedOn w:val="1"/>
    <w:qFormat/>
    <w:uiPriority w:val="0"/>
    <w:rPr>
      <w:rFonts w:ascii="Tahoma" w:hAnsi="Tahoma" w:eastAsia="宋体"/>
      <w:sz w:val="24"/>
      <w:szCs w:val="20"/>
    </w:rPr>
  </w:style>
  <w:style w:type="paragraph" w:customStyle="1" w:styleId="20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3">
    <w:name w:val="TOC 标题2"/>
    <w:basedOn w:val="4"/>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4">
    <w:name w:val="标题 1 Char1"/>
    <w:qFormat/>
    <w:uiPriority w:val="99"/>
    <w:rPr>
      <w:rFonts w:ascii="黑体" w:eastAsia="黑体"/>
      <w:sz w:val="52"/>
      <w:lang w:bidi="ar-SA"/>
    </w:rPr>
  </w:style>
  <w:style w:type="paragraph" w:customStyle="1" w:styleId="205">
    <w:name w:val="样式 标题 2 + Times New Roman 四号 非加粗 段前: 5 磅 段后: 0 磅 行距: 固定值 20..."/>
    <w:basedOn w:val="5"/>
    <w:qFormat/>
    <w:uiPriority w:val="99"/>
    <w:pPr>
      <w:keepNext/>
      <w:keepLines/>
      <w:spacing w:before="100" w:after="0" w:line="400" w:lineRule="exact"/>
    </w:pPr>
    <w:rPr>
      <w:rFonts w:ascii="Times New Roman" w:hAnsi="Times New Roman" w:eastAsia="黑体" w:cs="宋体"/>
      <w:sz w:val="28"/>
      <w:szCs w:val="20"/>
    </w:rPr>
  </w:style>
  <w:style w:type="paragraph" w:customStyle="1" w:styleId="206">
    <w:name w:val="3"/>
    <w:basedOn w:val="1"/>
    <w:next w:val="24"/>
    <w:qFormat/>
    <w:uiPriority w:val="99"/>
    <w:rPr>
      <w:rFonts w:ascii="宋体" w:eastAsia="宋体"/>
      <w:sz w:val="24"/>
      <w:szCs w:val="20"/>
    </w:rPr>
  </w:style>
  <w:style w:type="character" w:customStyle="1" w:styleId="207">
    <w:name w:val="正文文本 3 Char"/>
    <w:basedOn w:val="53"/>
    <w:link w:val="24"/>
    <w:qFormat/>
    <w:uiPriority w:val="99"/>
    <w:rPr>
      <w:rFonts w:ascii="Times New Roman" w:hAnsi="Times New Roman" w:eastAsia="宋体" w:cs="Times New Roman"/>
      <w:kern w:val="2"/>
      <w:sz w:val="16"/>
      <w:szCs w:val="16"/>
    </w:rPr>
  </w:style>
  <w:style w:type="paragraph" w:customStyle="1" w:styleId="208">
    <w:name w:val="样式 标题 3 + (中文) 黑体 小四 非加粗 段前: 7.8 磅 段后: 0 磅 行距: 固定值 20 磅"/>
    <w:basedOn w:val="6"/>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9">
    <w:name w:val="2"/>
    <w:basedOn w:val="1"/>
    <w:next w:val="26"/>
    <w:qFormat/>
    <w:uiPriority w:val="99"/>
    <w:pPr>
      <w:ind w:left="432"/>
    </w:pPr>
    <w:rPr>
      <w:rFonts w:eastAsia="宋体"/>
      <w:szCs w:val="20"/>
    </w:rPr>
  </w:style>
  <w:style w:type="character" w:customStyle="1" w:styleId="210">
    <w:name w:val="正文文本缩进 3 Char"/>
    <w:link w:val="39"/>
    <w:qFormat/>
    <w:uiPriority w:val="99"/>
    <w:rPr>
      <w:rFonts w:ascii="Times New Roman" w:hAnsi="Times New Roman" w:eastAsia="Arial Unicode MS" w:cs="Times New Roman"/>
      <w:kern w:val="2"/>
      <w:sz w:val="16"/>
      <w:szCs w:val="16"/>
    </w:rPr>
  </w:style>
  <w:style w:type="paragraph" w:customStyle="1" w:styleId="211">
    <w:name w:val="样式 标题 1 + 黑体 三号 非加粗 居中 段前: 6 磅 段后: 6 磅 行距: 固定值 20 磅"/>
    <w:basedOn w:val="4"/>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2">
    <w:name w:val="Char1111"/>
    <w:basedOn w:val="1"/>
    <w:qFormat/>
    <w:uiPriority w:val="0"/>
    <w:rPr>
      <w:rFonts w:ascii="Tahoma" w:hAnsi="Tahoma" w:eastAsia="宋体"/>
      <w:sz w:val="24"/>
      <w:szCs w:val="20"/>
    </w:rPr>
  </w:style>
  <w:style w:type="character" w:customStyle="1" w:styleId="213">
    <w:name w:val="font161"/>
    <w:qFormat/>
    <w:uiPriority w:val="99"/>
    <w:rPr>
      <w:b/>
      <w:bCs/>
      <w:sz w:val="32"/>
      <w:szCs w:val="32"/>
    </w:rPr>
  </w:style>
  <w:style w:type="paragraph" w:customStyle="1" w:styleId="214">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5">
    <w:name w:val="表格"/>
    <w:basedOn w:val="1"/>
    <w:qFormat/>
    <w:uiPriority w:val="99"/>
    <w:pPr>
      <w:jc w:val="center"/>
      <w:textAlignment w:val="center"/>
    </w:pPr>
    <w:rPr>
      <w:rFonts w:ascii="华文细黑" w:hAnsi="华文细黑" w:eastAsia="宋体"/>
      <w:kern w:val="0"/>
      <w:szCs w:val="20"/>
    </w:rPr>
  </w:style>
  <w:style w:type="paragraph" w:customStyle="1" w:styleId="216">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7">
    <w:name w:val="XW正文"/>
    <w:basedOn w:val="26"/>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8">
    <w:name w:val="金安桥正文"/>
    <w:basedOn w:val="26"/>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9">
    <w:name w:val="样式 粉红"/>
    <w:qFormat/>
    <w:uiPriority w:val="99"/>
    <w:rPr>
      <w:color w:val="auto"/>
      <w:u w:val="none"/>
    </w:rPr>
  </w:style>
  <w:style w:type="character" w:customStyle="1" w:styleId="220">
    <w:name w:val="Char Char1"/>
    <w:qFormat/>
    <w:uiPriority w:val="0"/>
    <w:rPr>
      <w:rFonts w:eastAsia="宋体"/>
      <w:kern w:val="2"/>
      <w:sz w:val="24"/>
      <w:lang w:val="en-US" w:eastAsia="zh-CN" w:bidi="ar-SA"/>
    </w:rPr>
  </w:style>
  <w:style w:type="character" w:customStyle="1" w:styleId="221">
    <w:name w:val="纯文本 Char"/>
    <w:link w:val="31"/>
    <w:qFormat/>
    <w:uiPriority w:val="0"/>
    <w:rPr>
      <w:rFonts w:ascii="宋体" w:hAnsi="Courier New" w:eastAsia="Arial Unicode MS" w:cs="Times New Roman"/>
      <w:kern w:val="2"/>
      <w:sz w:val="21"/>
      <w:szCs w:val="21"/>
    </w:rPr>
  </w:style>
  <w:style w:type="paragraph" w:customStyle="1" w:styleId="222">
    <w:name w:val="Char Char Char Char"/>
    <w:basedOn w:val="1"/>
    <w:qFormat/>
    <w:uiPriority w:val="0"/>
    <w:pPr>
      <w:widowControl/>
      <w:spacing w:after="160" w:line="240" w:lineRule="exact"/>
      <w:jc w:val="left"/>
    </w:pPr>
    <w:rPr>
      <w:rFonts w:eastAsia="宋体"/>
      <w:szCs w:val="20"/>
    </w:rPr>
  </w:style>
  <w:style w:type="paragraph" w:customStyle="1" w:styleId="223">
    <w:name w:val="p17"/>
    <w:basedOn w:val="1"/>
    <w:qFormat/>
    <w:uiPriority w:val="99"/>
    <w:pPr>
      <w:widowControl/>
    </w:pPr>
    <w:rPr>
      <w:rFonts w:eastAsia="宋体"/>
      <w:kern w:val="0"/>
      <w:szCs w:val="21"/>
    </w:rPr>
  </w:style>
  <w:style w:type="character" w:customStyle="1" w:styleId="224">
    <w:name w:val="H4 Char"/>
    <w:qFormat/>
    <w:uiPriority w:val="0"/>
    <w:rPr>
      <w:b/>
      <w:sz w:val="28"/>
    </w:rPr>
  </w:style>
  <w:style w:type="character" w:customStyle="1" w:styleId="225">
    <w:name w:val="Char Char2"/>
    <w:qFormat/>
    <w:uiPriority w:val="0"/>
    <w:rPr>
      <w:rFonts w:eastAsia="宋体"/>
      <w:kern w:val="2"/>
      <w:sz w:val="24"/>
      <w:lang w:val="en-US" w:eastAsia="zh-CN" w:bidi="ar-SA"/>
    </w:rPr>
  </w:style>
  <w:style w:type="character" w:customStyle="1" w:styleId="226">
    <w:name w:val="Char Char111"/>
    <w:qFormat/>
    <w:uiPriority w:val="99"/>
    <w:rPr>
      <w:rFonts w:eastAsia="宋体"/>
      <w:kern w:val="2"/>
      <w:sz w:val="24"/>
      <w:lang w:val="en-US" w:eastAsia="zh-CN" w:bidi="ar-SA"/>
    </w:rPr>
  </w:style>
  <w:style w:type="paragraph" w:customStyle="1" w:styleId="227">
    <w:name w:val="Char Char Char Char111"/>
    <w:basedOn w:val="1"/>
    <w:qFormat/>
    <w:uiPriority w:val="0"/>
    <w:pPr>
      <w:widowControl/>
      <w:spacing w:after="160" w:line="240" w:lineRule="exact"/>
      <w:jc w:val="left"/>
    </w:pPr>
    <w:rPr>
      <w:rFonts w:eastAsia="宋体"/>
      <w:szCs w:val="20"/>
    </w:rPr>
  </w:style>
  <w:style w:type="paragraph" w:customStyle="1" w:styleId="228">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0">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1">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8">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9">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0">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1">
    <w:name w:val="章标题"/>
    <w:next w:val="1"/>
    <w:link w:val="248"/>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2">
    <w:name w:val="一级条标题"/>
    <w:basedOn w:val="241"/>
    <w:next w:val="1"/>
    <w:link w:val="249"/>
    <w:qFormat/>
    <w:uiPriority w:val="0"/>
    <w:pPr>
      <w:numPr>
        <w:ilvl w:val="2"/>
      </w:numPr>
      <w:tabs>
        <w:tab w:val="left" w:pos="360"/>
      </w:tabs>
      <w:spacing w:beforeLines="0" w:afterLines="0"/>
      <w:ind w:left="315"/>
      <w:outlineLvl w:val="2"/>
    </w:pPr>
  </w:style>
  <w:style w:type="paragraph" w:customStyle="1" w:styleId="243">
    <w:name w:val="二级条标题"/>
    <w:basedOn w:val="242"/>
    <w:next w:val="1"/>
    <w:link w:val="250"/>
    <w:qFormat/>
    <w:uiPriority w:val="0"/>
    <w:pPr>
      <w:numPr>
        <w:ilvl w:val="3"/>
      </w:numPr>
      <w:ind w:left="315"/>
      <w:outlineLvl w:val="3"/>
    </w:pPr>
  </w:style>
  <w:style w:type="paragraph" w:customStyle="1" w:styleId="244">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5">
    <w:name w:val="三级条标题"/>
    <w:basedOn w:val="243"/>
    <w:next w:val="1"/>
    <w:qFormat/>
    <w:uiPriority w:val="0"/>
    <w:pPr>
      <w:numPr>
        <w:ilvl w:val="4"/>
      </w:numPr>
      <w:tabs>
        <w:tab w:val="left" w:pos="1680"/>
        <w:tab w:val="left" w:pos="2100"/>
      </w:tabs>
      <w:ind w:left="2100" w:hanging="420"/>
      <w:outlineLvl w:val="4"/>
    </w:pPr>
  </w:style>
  <w:style w:type="paragraph" w:customStyle="1" w:styleId="246">
    <w:name w:val="四级条标题"/>
    <w:basedOn w:val="245"/>
    <w:next w:val="1"/>
    <w:qFormat/>
    <w:uiPriority w:val="0"/>
    <w:pPr>
      <w:numPr>
        <w:ilvl w:val="5"/>
      </w:numPr>
      <w:tabs>
        <w:tab w:val="left" w:pos="2520"/>
      </w:tabs>
      <w:ind w:left="2520" w:hanging="420"/>
      <w:outlineLvl w:val="5"/>
    </w:pPr>
  </w:style>
  <w:style w:type="paragraph" w:customStyle="1" w:styleId="247">
    <w:name w:val="五级条标题"/>
    <w:basedOn w:val="246"/>
    <w:next w:val="1"/>
    <w:qFormat/>
    <w:uiPriority w:val="0"/>
    <w:pPr>
      <w:numPr>
        <w:ilvl w:val="6"/>
      </w:numPr>
      <w:tabs>
        <w:tab w:val="left" w:pos="2940"/>
      </w:tabs>
      <w:ind w:left="2940" w:hanging="420"/>
      <w:outlineLvl w:val="6"/>
    </w:pPr>
  </w:style>
  <w:style w:type="character" w:customStyle="1" w:styleId="248">
    <w:name w:val="章标题 Char"/>
    <w:link w:val="241"/>
    <w:qFormat/>
    <w:uiPriority w:val="0"/>
    <w:rPr>
      <w:rFonts w:ascii="黑体" w:eastAsia="黑体"/>
      <w:sz w:val="21"/>
    </w:rPr>
  </w:style>
  <w:style w:type="character" w:customStyle="1" w:styleId="249">
    <w:name w:val="一级条标题 Char"/>
    <w:link w:val="242"/>
    <w:qFormat/>
    <w:uiPriority w:val="0"/>
    <w:rPr>
      <w:rFonts w:ascii="黑体" w:eastAsia="黑体"/>
      <w:sz w:val="21"/>
    </w:rPr>
  </w:style>
  <w:style w:type="character" w:customStyle="1" w:styleId="250">
    <w:name w:val="二级条标题 Char"/>
    <w:link w:val="243"/>
    <w:qFormat/>
    <w:uiPriority w:val="0"/>
    <w:rPr>
      <w:rFonts w:ascii="黑体" w:eastAsia="黑体"/>
      <w:sz w:val="21"/>
    </w:rPr>
  </w:style>
  <w:style w:type="character" w:customStyle="1" w:styleId="251">
    <w:name w:val="Heading 1 Char"/>
    <w:qFormat/>
    <w:locked/>
    <w:uiPriority w:val="0"/>
    <w:rPr>
      <w:rFonts w:ascii="黑体" w:hAnsi="Times New Roman" w:eastAsia="黑体" w:cs="Times New Roman"/>
      <w:kern w:val="0"/>
      <w:sz w:val="20"/>
      <w:szCs w:val="20"/>
    </w:rPr>
  </w:style>
  <w:style w:type="character" w:customStyle="1" w:styleId="252">
    <w:name w:val="Heading 2 Char"/>
    <w:qFormat/>
    <w:locked/>
    <w:uiPriority w:val="0"/>
    <w:rPr>
      <w:rFonts w:ascii="Times New Roman" w:hAnsi="Times New Roman" w:eastAsia="宋体" w:cs="Times New Roman"/>
      <w:b/>
      <w:kern w:val="0"/>
      <w:sz w:val="32"/>
      <w:szCs w:val="32"/>
    </w:rPr>
  </w:style>
  <w:style w:type="character" w:customStyle="1" w:styleId="253">
    <w:name w:val="标题 3 Char1"/>
    <w:qFormat/>
    <w:locked/>
    <w:uiPriority w:val="99"/>
    <w:rPr>
      <w:rFonts w:eastAsia="宋体"/>
      <w:b/>
      <w:sz w:val="32"/>
      <w:lang w:val="en-US" w:eastAsia="zh-CN" w:bidi="ar-SA"/>
    </w:rPr>
  </w:style>
  <w:style w:type="character" w:customStyle="1" w:styleId="254">
    <w:name w:val="Heading 4 Char"/>
    <w:qFormat/>
    <w:locked/>
    <w:uiPriority w:val="0"/>
    <w:rPr>
      <w:rFonts w:ascii="Times New Roman" w:hAnsi="Times New Roman" w:eastAsia="宋体" w:cs="Times New Roman"/>
      <w:b/>
      <w:kern w:val="0"/>
      <w:sz w:val="20"/>
      <w:szCs w:val="20"/>
    </w:rPr>
  </w:style>
  <w:style w:type="character" w:customStyle="1" w:styleId="255">
    <w:name w:val="Heading 5 Char"/>
    <w:qFormat/>
    <w:locked/>
    <w:uiPriority w:val="0"/>
    <w:rPr>
      <w:rFonts w:ascii="Times New Roman" w:hAnsi="Times New Roman" w:eastAsia="宋体" w:cs="Times New Roman"/>
      <w:b/>
      <w:bCs/>
      <w:sz w:val="28"/>
      <w:szCs w:val="28"/>
    </w:rPr>
  </w:style>
  <w:style w:type="character" w:customStyle="1" w:styleId="256">
    <w:name w:val="Heading 6 Char"/>
    <w:qFormat/>
    <w:locked/>
    <w:uiPriority w:val="0"/>
    <w:rPr>
      <w:rFonts w:ascii="Arial" w:hAnsi="Arial" w:eastAsia="黑体" w:cs="Times New Roman"/>
      <w:b/>
      <w:bCs/>
      <w:kern w:val="0"/>
      <w:sz w:val="24"/>
      <w:szCs w:val="24"/>
    </w:rPr>
  </w:style>
  <w:style w:type="character" w:customStyle="1" w:styleId="257">
    <w:name w:val="Heading 7 Char"/>
    <w:qFormat/>
    <w:locked/>
    <w:uiPriority w:val="0"/>
    <w:rPr>
      <w:rFonts w:ascii="Times New Roman" w:hAnsi="Times New Roman" w:eastAsia="宋体" w:cs="Times New Roman"/>
      <w:b/>
      <w:bCs/>
      <w:kern w:val="0"/>
      <w:sz w:val="24"/>
      <w:szCs w:val="24"/>
    </w:rPr>
  </w:style>
  <w:style w:type="character" w:customStyle="1" w:styleId="258">
    <w:name w:val="Heading 8 Char"/>
    <w:qFormat/>
    <w:locked/>
    <w:uiPriority w:val="0"/>
    <w:rPr>
      <w:rFonts w:ascii="Arial" w:hAnsi="Arial" w:eastAsia="黑体" w:cs="Times New Roman"/>
      <w:kern w:val="0"/>
      <w:sz w:val="24"/>
      <w:szCs w:val="24"/>
    </w:rPr>
  </w:style>
  <w:style w:type="character" w:customStyle="1" w:styleId="259">
    <w:name w:val="Heading 9 Char"/>
    <w:qFormat/>
    <w:locked/>
    <w:uiPriority w:val="0"/>
    <w:rPr>
      <w:rFonts w:ascii="Arial" w:hAnsi="Arial" w:eastAsia="黑体" w:cs="Times New Roman"/>
      <w:kern w:val="0"/>
      <w:sz w:val="21"/>
      <w:szCs w:val="21"/>
    </w:rPr>
  </w:style>
  <w:style w:type="character" w:customStyle="1" w:styleId="260">
    <w:name w:val="Document Map Char"/>
    <w:qFormat/>
    <w:locked/>
    <w:uiPriority w:val="0"/>
    <w:rPr>
      <w:rFonts w:ascii="Times New Roman" w:hAnsi="Times New Roman" w:eastAsia="宋体" w:cs="Times New Roman"/>
      <w:sz w:val="24"/>
      <w:szCs w:val="24"/>
      <w:shd w:val="clear" w:color="auto" w:fill="000080"/>
    </w:rPr>
  </w:style>
  <w:style w:type="character" w:customStyle="1" w:styleId="261">
    <w:name w:val="Date Char"/>
    <w:qFormat/>
    <w:locked/>
    <w:uiPriority w:val="0"/>
    <w:rPr>
      <w:rFonts w:ascii="Times New Roman" w:hAnsi="Times New Roman" w:eastAsia="宋体" w:cs="Times New Roman"/>
      <w:sz w:val="20"/>
      <w:szCs w:val="20"/>
    </w:rPr>
  </w:style>
  <w:style w:type="character" w:customStyle="1" w:styleId="262">
    <w:name w:val="Header Char"/>
    <w:qFormat/>
    <w:locked/>
    <w:uiPriority w:val="0"/>
    <w:rPr>
      <w:rFonts w:ascii="Times New Roman" w:hAnsi="Times New Roman" w:eastAsia="宋体" w:cs="Times New Roman"/>
      <w:kern w:val="0"/>
      <w:sz w:val="20"/>
      <w:szCs w:val="20"/>
    </w:rPr>
  </w:style>
  <w:style w:type="character" w:customStyle="1" w:styleId="263">
    <w:name w:val="Footer Char"/>
    <w:qFormat/>
    <w:locked/>
    <w:uiPriority w:val="0"/>
    <w:rPr>
      <w:rFonts w:ascii="Times New Roman" w:hAnsi="Times New Roman" w:eastAsia="宋体" w:cs="Times New Roman"/>
      <w:kern w:val="0"/>
      <w:sz w:val="20"/>
      <w:szCs w:val="20"/>
    </w:rPr>
  </w:style>
  <w:style w:type="character" w:customStyle="1" w:styleId="264">
    <w:name w:val="Plain Text Char"/>
    <w:qFormat/>
    <w:locked/>
    <w:uiPriority w:val="0"/>
    <w:rPr>
      <w:rFonts w:ascii="宋体" w:hAnsi="Courier New" w:eastAsia="宋体" w:cs="Times New Roman"/>
      <w:sz w:val="20"/>
      <w:szCs w:val="20"/>
    </w:rPr>
  </w:style>
  <w:style w:type="character" w:customStyle="1" w:styleId="265">
    <w:name w:val="Body Text Indent 2 Char"/>
    <w:qFormat/>
    <w:locked/>
    <w:uiPriority w:val="0"/>
    <w:rPr>
      <w:rFonts w:ascii="Times New Roman" w:hAnsi="Times New Roman" w:eastAsia="宋体" w:cs="Times New Roman"/>
      <w:sz w:val="30"/>
      <w:szCs w:val="30"/>
    </w:rPr>
  </w:style>
  <w:style w:type="character" w:customStyle="1" w:styleId="266">
    <w:name w:val="Body Text Indent 3 Char"/>
    <w:qFormat/>
    <w:locked/>
    <w:uiPriority w:val="0"/>
    <w:rPr>
      <w:rFonts w:ascii="Times New Roman" w:hAnsi="Times New Roman" w:eastAsia="宋体" w:cs="Times New Roman"/>
      <w:sz w:val="30"/>
      <w:szCs w:val="30"/>
    </w:rPr>
  </w:style>
  <w:style w:type="character" w:customStyle="1" w:styleId="267">
    <w:name w:val="Body Text First Indent 2 Char"/>
    <w:qFormat/>
    <w:locked/>
    <w:uiPriority w:val="0"/>
    <w:rPr>
      <w:rFonts w:ascii="Times New Roman" w:hAnsi="Times New Roman" w:eastAsia="宋体" w:cs="Times New Roman"/>
      <w:kern w:val="2"/>
      <w:sz w:val="24"/>
      <w:szCs w:val="24"/>
    </w:rPr>
  </w:style>
  <w:style w:type="character" w:customStyle="1" w:styleId="268">
    <w:name w:val="Body Text 2 Char"/>
    <w:qFormat/>
    <w:locked/>
    <w:uiPriority w:val="0"/>
    <w:rPr>
      <w:rFonts w:ascii="宋体" w:hAnsi="Times New Roman" w:eastAsia="宋体" w:cs="Times New Roman"/>
      <w:sz w:val="20"/>
      <w:szCs w:val="20"/>
    </w:rPr>
  </w:style>
  <w:style w:type="character" w:customStyle="1" w:styleId="269">
    <w:name w:val="Balloon Text Char"/>
    <w:qFormat/>
    <w:locked/>
    <w:uiPriority w:val="0"/>
    <w:rPr>
      <w:rFonts w:ascii="Times New Roman" w:hAnsi="Times New Roman" w:eastAsia="宋体" w:cs="Times New Roman"/>
      <w:sz w:val="18"/>
      <w:szCs w:val="18"/>
    </w:rPr>
  </w:style>
  <w:style w:type="character" w:customStyle="1" w:styleId="270">
    <w:name w:val="Salutation Char"/>
    <w:qFormat/>
    <w:locked/>
    <w:uiPriority w:val="0"/>
    <w:rPr>
      <w:rFonts w:ascii="..ì." w:hAnsi="Times New Roman" w:eastAsia="..ì." w:cs="Times New Roman"/>
      <w:kern w:val="0"/>
      <w:sz w:val="20"/>
      <w:szCs w:val="20"/>
    </w:rPr>
  </w:style>
  <w:style w:type="character" w:customStyle="1" w:styleId="271">
    <w:name w:val="Note Heading Char"/>
    <w:qFormat/>
    <w:locked/>
    <w:uiPriority w:val="0"/>
    <w:rPr>
      <w:rFonts w:ascii="..ì." w:hAnsi="Times New Roman" w:eastAsia="..ì." w:cs="Times New Roman"/>
      <w:kern w:val="0"/>
      <w:sz w:val="20"/>
      <w:szCs w:val="20"/>
    </w:rPr>
  </w:style>
  <w:style w:type="paragraph" w:customStyle="1" w:styleId="272">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3">
    <w:name w:val="TOC Heading1"/>
    <w:basedOn w:val="4"/>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4">
    <w:name w:val="Body Text 3 Char"/>
    <w:qFormat/>
    <w:locked/>
    <w:uiPriority w:val="0"/>
    <w:rPr>
      <w:rFonts w:ascii="Times New Roman" w:hAnsi="Times New Roman" w:eastAsia="宋体" w:cs="Times New Roman"/>
      <w:sz w:val="16"/>
      <w:szCs w:val="16"/>
    </w:rPr>
  </w:style>
  <w:style w:type="character" w:customStyle="1" w:styleId="275">
    <w:name w:val="Title Char"/>
    <w:qFormat/>
    <w:locked/>
    <w:uiPriority w:val="0"/>
    <w:rPr>
      <w:rFonts w:ascii="Arial" w:hAnsi="Arial" w:eastAsia="宋体" w:cs="Times New Roman"/>
      <w:b/>
      <w:kern w:val="0"/>
      <w:sz w:val="20"/>
      <w:szCs w:val="20"/>
    </w:rPr>
  </w:style>
  <w:style w:type="character" w:customStyle="1" w:styleId="276">
    <w:name w:val="Comment Subject Char"/>
    <w:qFormat/>
    <w:locked/>
    <w:uiPriority w:val="0"/>
    <w:rPr>
      <w:rFonts w:ascii="Times New Roman" w:hAnsi="Times New Roman" w:eastAsia="宋体" w:cs="Times New Roman"/>
      <w:b/>
      <w:bCs/>
      <w:sz w:val="24"/>
      <w:szCs w:val="24"/>
    </w:rPr>
  </w:style>
  <w:style w:type="character" w:customStyle="1" w:styleId="277">
    <w:name w:val="Comment Text Char"/>
    <w:qFormat/>
    <w:locked/>
    <w:uiPriority w:val="0"/>
    <w:rPr>
      <w:rFonts w:ascii="Times New Roman" w:hAnsi="Times New Roman" w:eastAsia="宋体"/>
      <w:sz w:val="24"/>
    </w:rPr>
  </w:style>
  <w:style w:type="paragraph" w:customStyle="1" w:styleId="278">
    <w:name w:val="List Paragraph1"/>
    <w:basedOn w:val="1"/>
    <w:qFormat/>
    <w:uiPriority w:val="0"/>
    <w:pPr>
      <w:ind w:firstLine="420" w:firstLineChars="200"/>
    </w:pPr>
    <w:rPr>
      <w:rFonts w:eastAsia="宋体"/>
    </w:rPr>
  </w:style>
  <w:style w:type="paragraph" w:customStyle="1" w:styleId="279">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0">
    <w:name w:val="未处理的提及"/>
    <w:unhideWhenUsed/>
    <w:qFormat/>
    <w:uiPriority w:val="99"/>
    <w:rPr>
      <w:color w:val="605E5C"/>
      <w:shd w:val="clear" w:color="auto" w:fill="E1DFDD"/>
    </w:rPr>
  </w:style>
  <w:style w:type="character" w:customStyle="1" w:styleId="281">
    <w:name w:val="Char Char11"/>
    <w:qFormat/>
    <w:uiPriority w:val="99"/>
    <w:rPr>
      <w:rFonts w:eastAsia="宋体"/>
      <w:kern w:val="2"/>
      <w:sz w:val="24"/>
      <w:lang w:val="en-US" w:eastAsia="zh-CN"/>
    </w:rPr>
  </w:style>
  <w:style w:type="character" w:customStyle="1" w:styleId="282">
    <w:name w:val="正文文本 Char1"/>
    <w:semiHidden/>
    <w:qFormat/>
    <w:uiPriority w:val="0"/>
    <w:rPr>
      <w:rFonts w:ascii="Times New Roman" w:hAnsi="Times New Roman" w:eastAsia="宋体" w:cs="Times New Roman"/>
      <w:szCs w:val="24"/>
    </w:rPr>
  </w:style>
  <w:style w:type="paragraph" w:customStyle="1" w:styleId="283">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4">
    <w:name w:val="Char11"/>
    <w:basedOn w:val="1"/>
    <w:qFormat/>
    <w:uiPriority w:val="99"/>
    <w:rPr>
      <w:rFonts w:ascii="Tahoma" w:hAnsi="Tahoma" w:eastAsia="宋体"/>
      <w:sz w:val="24"/>
      <w:szCs w:val="20"/>
    </w:rPr>
  </w:style>
  <w:style w:type="paragraph" w:customStyle="1" w:styleId="285">
    <w:name w:val="Char Char Char Char1"/>
    <w:basedOn w:val="1"/>
    <w:qFormat/>
    <w:uiPriority w:val="99"/>
    <w:pPr>
      <w:widowControl/>
      <w:spacing w:after="160" w:line="240" w:lineRule="exact"/>
      <w:jc w:val="left"/>
    </w:pPr>
    <w:rPr>
      <w:rFonts w:eastAsia="宋体"/>
      <w:szCs w:val="20"/>
    </w:rPr>
  </w:style>
  <w:style w:type="paragraph" w:customStyle="1" w:styleId="286">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7">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Char Char Char Char11"/>
    <w:basedOn w:val="1"/>
    <w:qFormat/>
    <w:uiPriority w:val="99"/>
    <w:pPr>
      <w:widowControl/>
      <w:spacing w:after="160" w:line="240" w:lineRule="exact"/>
      <w:jc w:val="left"/>
    </w:pPr>
    <w:rPr>
      <w:rFonts w:eastAsia="宋体"/>
      <w:szCs w:val="20"/>
    </w:rPr>
  </w:style>
  <w:style w:type="paragraph" w:customStyle="1" w:styleId="289">
    <w:name w:val="Char12"/>
    <w:basedOn w:val="1"/>
    <w:qFormat/>
    <w:uiPriority w:val="99"/>
    <w:rPr>
      <w:rFonts w:ascii="Tahoma" w:hAnsi="Tahoma" w:eastAsia="宋体"/>
      <w:sz w:val="24"/>
      <w:szCs w:val="20"/>
    </w:rPr>
  </w:style>
  <w:style w:type="paragraph" w:customStyle="1" w:styleId="290">
    <w:name w:val="Char111"/>
    <w:basedOn w:val="1"/>
    <w:qFormat/>
    <w:uiPriority w:val="99"/>
    <w:rPr>
      <w:rFonts w:ascii="Tahoma" w:hAnsi="Tahoma" w:eastAsia="宋体"/>
      <w:sz w:val="24"/>
      <w:szCs w:val="20"/>
    </w:rPr>
  </w:style>
  <w:style w:type="paragraph" w:customStyle="1" w:styleId="291">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Char Char Char Char2"/>
    <w:basedOn w:val="1"/>
    <w:qFormat/>
    <w:uiPriority w:val="99"/>
    <w:pPr>
      <w:widowControl/>
      <w:spacing w:after="160" w:line="240" w:lineRule="exact"/>
      <w:jc w:val="left"/>
    </w:pPr>
    <w:rPr>
      <w:rFonts w:eastAsia="宋体"/>
      <w:szCs w:val="20"/>
    </w:rPr>
  </w:style>
  <w:style w:type="character" w:customStyle="1" w:styleId="293">
    <w:name w:val="正文文本 字符"/>
    <w:qFormat/>
    <w:uiPriority w:val="0"/>
    <w:rPr>
      <w:b/>
      <w:i/>
      <w:szCs w:val="24"/>
    </w:rPr>
  </w:style>
  <w:style w:type="paragraph" w:customStyle="1" w:styleId="294">
    <w:name w:val="纯文本2"/>
    <w:basedOn w:val="1"/>
    <w:qFormat/>
    <w:uiPriority w:val="0"/>
    <w:rPr>
      <w:rFonts w:ascii="宋体" w:hAnsi="Courier New" w:cs="Courier New"/>
      <w:szCs w:val="21"/>
    </w:rPr>
  </w:style>
  <w:style w:type="paragraph" w:customStyle="1" w:styleId="295">
    <w:name w:val="TOC 标题3"/>
    <w:basedOn w:val="4"/>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6">
    <w:name w:val="HTML 预设格式 Char"/>
    <w:basedOn w:val="53"/>
    <w:link w:val="43"/>
    <w:qFormat/>
    <w:uiPriority w:val="0"/>
    <w:rPr>
      <w:rFonts w:ascii="黑体" w:hAnsi="Courier New" w:eastAsia="黑体"/>
    </w:rPr>
  </w:style>
  <w:style w:type="paragraph" w:customStyle="1" w:styleId="297">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98">
    <w:name w:val="Table Paragraph"/>
    <w:basedOn w:val="1"/>
    <w:qFormat/>
    <w:uiPriority w:val="1"/>
  </w:style>
  <w:style w:type="table" w:customStyle="1" w:styleId="299">
    <w:name w:val="Table Normal"/>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300">
    <w:name w:val="标题 3 Char2"/>
    <w:link w:val="6"/>
    <w:qFormat/>
    <w:uiPriority w:val="0"/>
    <w:rPr>
      <w:rFonts w:ascii="仿宋" w:hAnsi="仿宋" w:eastAsia="仿宋"/>
      <w:bCs/>
      <w:sz w:val="32"/>
    </w:rPr>
  </w:style>
  <w:style w:type="paragraph" w:customStyle="1" w:styleId="301">
    <w:name w:val="正文格式"/>
    <w:basedOn w:val="302"/>
    <w:qFormat/>
    <w:uiPriority w:val="0"/>
    <w:pPr>
      <w:widowControl/>
      <w:adjustRightInd w:val="0"/>
      <w:snapToGrid w:val="0"/>
      <w:spacing w:before="78" w:beforeLines="25" w:line="360" w:lineRule="auto"/>
      <w:ind w:firstLine="480" w:firstLineChars="200"/>
      <w:textAlignment w:val="baseline"/>
    </w:pPr>
    <w:rPr>
      <w:rFonts w:hAnsi="宋体"/>
      <w:color w:val="000000"/>
    </w:rPr>
  </w:style>
  <w:style w:type="paragraph" w:customStyle="1" w:styleId="302">
    <w:name w:val="正文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3">
    <w:name w:val="Body text|1"/>
    <w:basedOn w:val="1"/>
    <w:qFormat/>
    <w:uiPriority w:val="0"/>
    <w:pPr>
      <w:spacing w:line="480" w:lineRule="auto"/>
      <w:ind w:firstLine="400"/>
    </w:pPr>
    <w:rPr>
      <w:rFonts w:ascii="宋体" w:hAnsi="宋体" w:cs="宋体"/>
      <w:sz w:val="26"/>
      <w:szCs w:val="26"/>
      <w:lang w:val="zh-TW" w:eastAsia="zh-TW" w:bidi="zh-TW"/>
    </w:rPr>
  </w:style>
  <w:style w:type="character" w:customStyle="1" w:styleId="304">
    <w:name w:val="书籍标题1"/>
    <w:basedOn w:val="53"/>
    <w:qFormat/>
    <w:uiPriority w:val="33"/>
    <w:rPr>
      <w:b/>
      <w:bCs/>
      <w:smallCaps/>
      <w:spacing w:val="5"/>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4C9611-985D-48AD-B705-8A3604DBFEA4}">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60</Pages>
  <Words>26464</Words>
  <Characters>29960</Characters>
  <Lines>349</Lines>
  <Paragraphs>98</Paragraphs>
  <TotalTime>0</TotalTime>
  <ScaleCrop>false</ScaleCrop>
  <LinksUpToDate>false</LinksUpToDate>
  <CharactersWithSpaces>34253</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2023-03-22T05:53:00Z</dcterms:created>
  <dc:creator>Lv Ji_BM</dc:creator>
  <cp:lastModifiedBy>Jun</cp:lastModifiedBy>
  <cp:lastPrinted>2021-01-08T03:14:00Z</cp:lastPrinted>
  <dcterms:modified xsi:type="dcterms:W3CDTF">2023-09-21T09:04:26Z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C9A8FD357BE54D3AA6A5C8282FC58DC7</vt:lpwstr>
  </property>
</Properties>
</file>